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/>
      </w:pPr>
      <w:bookmarkStart w:id="0" w:name="_GoBack"/>
      <w:bookmarkEnd w:id="0"/>
      <w:r>
        <w:rPr>
          <w:b/>
          <w:bCs/>
        </w:rPr>
        <w:t>EDITAL Nº 003/2023</w:t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ind w:firstLine="2835"/>
        <w:jc w:val="right"/>
        <w:rPr/>
      </w:pPr>
      <w:r>
        <w:rPr>
          <w:bCs/>
          <w:sz w:val="20"/>
          <w:szCs w:val="20"/>
        </w:rPr>
        <w:t xml:space="preserve">SUSPENDE OS TRÂMITES DO PROCESSO ELEITORAL E REABRE O PRAZO PARA INSCRIÇÕES PARA ELEIÇÃO DOS MEMBROS DO </w:t>
      </w:r>
    </w:p>
    <w:p>
      <w:pPr>
        <w:pStyle w:val="Default"/>
        <w:spacing w:lineRule="auto" w:line="360"/>
        <w:ind w:firstLine="2835"/>
        <w:jc w:val="right"/>
        <w:rPr/>
      </w:pPr>
      <w:r>
        <w:rPr>
          <w:bCs/>
          <w:sz w:val="20"/>
          <w:szCs w:val="20"/>
        </w:rPr>
        <w:t>CONSELHO TUTELAR E DÁ OUTRAS PROVIDÊNCIAS</w:t>
      </w:r>
    </w:p>
    <w:p>
      <w:pPr>
        <w:pStyle w:val="Default"/>
        <w:spacing w:lineRule="auto" w:line="360"/>
        <w:jc w:val="center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>
          <w:b/>
        </w:rPr>
        <w:tab/>
        <w:tab/>
        <w:t>O Conselho Municipal dos Direitos da Criança e do Adolescente do Município de Viadutos – COMDICAVI,</w:t>
      </w:r>
      <w:r>
        <w:rPr>
          <w:i/>
          <w:iCs/>
        </w:rPr>
        <w:t xml:space="preserve"> </w:t>
      </w:r>
      <w:r>
        <w:rPr/>
        <w:t>no uso da atribuição que lhe é conferido pela Lei Municipal nº 2130, de 16 de maio de 2006 e alterações, torna público o presente EDITAL de suspen</w:t>
      </w:r>
      <w:r>
        <w:rPr/>
        <w:t>s</w:t>
      </w:r>
      <w:r>
        <w:rPr/>
        <w:t xml:space="preserve">ão do processo eleitoral, </w:t>
      </w:r>
      <w:r>
        <w:rPr/>
        <w:t>abertura de novo prazo para inscrições</w:t>
      </w:r>
      <w:r>
        <w:rPr/>
        <w:t xml:space="preserve"> e alteração do calendário da eleição para membros titulares e suplentes do Conselho Tutelar.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ab/>
        <w:t xml:space="preserve">Art.1º 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Ficam suspensos os trâmites do processo eleitoral para eleição dos membros do Conselho Tutelar do Município de Viadutos, em virtude do quantitativo de candidatos inscritos não atingir o quórum necessário à realização do pleito, pelo período de 1º à 16 de junho de 202, conforme determina o Art. 13, da Resolução 231, de 28 de dezembro de 2022, </w:t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 xml:space="preserve">Art.2º </w:t>
      </w:r>
      <w:r>
        <w:rPr>
          <w:rFonts w:cs="Arial"/>
          <w:b w:val="false"/>
          <w:bCs w:val="false"/>
          <w:color w:val="000000"/>
          <w:sz w:val="24"/>
          <w:szCs w:val="24"/>
        </w:rPr>
        <w:t>Fica aberto novo período de inscrições, compreendendo o período entre as 8:00 do dia primeiro de junho de 2023 às 17h00min do dia 16 de junho de 2022.</w:t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>Art.3º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Fica alterada a data da análise dos requerimentos de inscrições para 19/06/2023, constante no item 3, do anexo I, do edital n°001/2023, do Comdicavi.</w:t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>Art.4º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Fica alterada a data de publicação da relação de candidaturas inscritas para 20/06/2023, constante no item 4, do anexo I, do edital nº001/2023, do Comdicavi.</w:t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>Art.5º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Fica alterada a data para impugnação de candidaturas pelos cidadãos, para 21/05/2023 até 27/06/2023, constante no item 5, do anexo I, do Edital n° 001/2023, do Comdicavi.</w:t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>Art.6º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Fica alterada a data para a defesa dos candidatos para 28/06/2023 até 30/06/2023, constante no item 6, do anexo I, do Edital 001/2023, do Comdicavi. </w:t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>Art.7º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Fica alterada a data para análise dos recursos pela Comissão Especial Eleitoral para o dia 03/07/2023, constante no item 7, do anexo I, do Edital 001/2023, do Condicavi.</w:t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>Art.8º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Ficam alteradas as disposições constantes nos itens 2, 3, 4, 5, 6 e 7 do anexo I, do edital 001/2023, do Comdicavi, conforme anexo constante do presente edital.</w:t>
      </w:r>
    </w:p>
    <w:p>
      <w:pPr>
        <w:pStyle w:val="Default"/>
        <w:spacing w:lineRule="auto" w:line="36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>Art.9º</w:t>
      </w:r>
      <w:r>
        <w:rPr>
          <w:rFonts w:cs="Arial"/>
          <w:b w:val="false"/>
          <w:bCs w:val="false"/>
          <w:color w:val="000000"/>
          <w:sz w:val="28"/>
          <w:szCs w:val="24"/>
        </w:rPr>
        <w:t xml:space="preserve"> Ficam ratificadas as demais disposições contantes no Edital 0001/2023 e anexo I, e Edital 0002/2023, do Comdicavi. </w:t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Default"/>
        <w:spacing w:lineRule="auto" w:line="360"/>
        <w:jc w:val="center"/>
        <w:rPr/>
      </w:pPr>
      <w:r>
        <w:rPr>
          <w:b/>
          <w:bCs/>
        </w:rPr>
        <w:t>ANEXO I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center"/>
        <w:rPr/>
      </w:pPr>
      <w:r>
        <w:rPr>
          <w:b/>
          <w:bCs/>
        </w:rPr>
        <w:t>CALENDÁRIO REFERENTE AO EDITAL Nº 0003/2023 DO COMDICAVI</w:t>
      </w:r>
    </w:p>
    <w:p>
      <w:pPr>
        <w:pStyle w:val="Default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1 - Publicação do Edital: 01/04/2023; 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2 - Inscrições na sede da Secretaria Municipal de Assistência Social das 8h00min do dia 01/06/2023 às 17h00min do dia 16/06/2023; 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3 - Análise dos Requerimentos de inscrições: 19/06/2023; 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4 – Publicação da relação de candidaturas inscritas: 20/06/2023;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5 – Prazo para impugnação de candidaturas pelos cidadãos: 21/06/2023 à 27/06/2023;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6 – Prazo para defesa dos candidatos: 28/06/2023 à 30/06/2023;</w:t>
      </w:r>
    </w:p>
    <w:p>
      <w:pPr>
        <w:pStyle w:val="Default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7 – Análise dos recursos pela Comissão Especial Eleitoral: 03/07/2023;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8 - </w:t>
      </w:r>
      <w:r>
        <w:rPr/>
        <w:t xml:space="preserve">Divulgação do resultado dos recursos e publicação da lista preliminar dos(as) candidatos(as) com inscrição deferida, em ordem alfabética: 04/07/2023;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9 - Prazo para recurso à plenária do COMDICAVI: 05 e 06 /07/2023;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10 - Julgamento dos recursos pelo COMDICAVI: 07 à 12/07/2023;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11 - </w:t>
      </w:r>
      <w:r>
        <w:rPr/>
        <w:t xml:space="preserve">Divulgação do resultado dos recursos e publicação da lista definitiva dos(as) candidatos(as) com inscrição deferida, em ordem alfabética (e início do prazo para realização de campanha pelos(as) candidatos(as)): 13/07/2023;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12 - Dia da votação: 01/10/2023;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13 - Divulgação do resultado da votação: 02/10/2023;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14 - </w:t>
      </w:r>
      <w:r>
        <w:rPr/>
        <w:t xml:space="preserve">Prazo para impugnação do resultado do processo de escolha: de 03/10/2023 a 04/10/2023;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15 - </w:t>
      </w:r>
      <w:r>
        <w:rPr/>
        <w:t xml:space="preserve">Julgamento das impugnações ao resultado do processo de escolha: 05 a 09/10/2023;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16 - </w:t>
      </w:r>
      <w:r>
        <w:rPr/>
        <w:t xml:space="preserve">Publicação do resultado do julgamento das impugnações ao resultado do processo de escolha: 10/10/2023;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17 - </w:t>
      </w:r>
      <w:r>
        <w:rPr/>
        <w:t xml:space="preserve">Prazo para recurso quanto ao julgamento dos recursos interpostos contra resultado do processo de escolha: de 11/10/2023 a 13/10/203;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18 - Publicação do resultado do julgamento dos recursos: 16/10/2023; </w:t>
      </w:r>
    </w:p>
    <w:p>
      <w:pPr>
        <w:pStyle w:val="Default"/>
        <w:spacing w:lineRule="auto" w:line="360"/>
        <w:jc w:val="both"/>
        <w:rPr/>
      </w:pPr>
      <w:r>
        <w:rPr>
          <w:bCs/>
        </w:rPr>
        <w:t xml:space="preserve">19 - </w:t>
      </w:r>
      <w:r>
        <w:rPr/>
        <w:t xml:space="preserve">Proclamação do resultado final do processo de escolha: 17/10/2023; 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rFonts w:cs="Arial" w:ascii="Arial" w:hAnsi="Arial"/>
          <w:bCs/>
          <w:color w:val="000000"/>
          <w:sz w:val="24"/>
          <w:szCs w:val="24"/>
        </w:rPr>
        <w:t>20 - Posse e diplomação dos(as) eleitos(as): 10/01/2024.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567" w:top="1134" w:footer="0" w:bottom="851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pBdr>
        <w:bottom w:val="thickThinSmallGap" w:sz="24" w:space="1" w:color="622423"/>
      </w:pBdr>
      <w:rPr>
        <w:rFonts w:ascii="Cambria" w:hAnsi="Cambria" w:eastAsia="" w:cs="" w:asciiTheme="majorHAnsi" w:cstheme="majorBidi" w:eastAsiaTheme="majorEastAsia" w:hAnsiTheme="majorHAnsi"/>
        <w:sz w:val="28"/>
        <w:szCs w:val="28"/>
      </w:rPr>
    </w:pPr>
    <w:sdt>
      <w:sdtPr>
        <w:id w:val="80859533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placeholder>
          <w:docPart w:val="41C3462EBF334D38A04715AA8768C4AB"/>
        </w:placeholder>
        <w:alias w:val="Título"/>
        <w:text/>
      </w:sdtPr>
      <w:sdtContent>
        <w:r>
          <w:rPr/>
          <w:t>CONSELHO MUNICIPAL DOS DIREITOS DA CRIANÇA E DO ADOLESCENTE DE VIADUTOS - COMDICAVI</w:t>
        </w:r>
      </w:sdtContent>
    </w:sdt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pBdr>
        <w:bottom w:val="thickThinSmallGap" w:sz="24" w:space="1" w:color="622423"/>
      </w:pBdr>
      <w:rPr>
        <w:rFonts w:ascii="Cambria" w:hAnsi="Cambria" w:eastAsia="" w:cs="" w:asciiTheme="majorHAnsi" w:cstheme="majorBidi" w:eastAsiaTheme="majorEastAsia" w:hAnsiTheme="majorHAnsi"/>
        <w:sz w:val="28"/>
        <w:szCs w:val="28"/>
      </w:rPr>
    </w:pPr>
    <w:sdt>
      <w:sdtPr>
        <w:id w:val="141470868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placeholder>
          <w:docPart w:val="41C3462EBF334D38A04715AA8768C4AB"/>
        </w:placeholder>
        <w:alias w:val="Título"/>
        <w:text/>
      </w:sdtPr>
      <w:sdtContent>
        <w:r>
          <w:rPr/>
          <w:t>CONSELHO MUNICIPAL DOS DIREITOS DA CRIANÇA E DO ADOLESCENTE DE VIADUTOS - COMDICAVI</w:t>
        </w:r>
      </w:sdtContent>
    </w:sdt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25e2"/>
    <w:pPr>
      <w:widowControl/>
      <w:suppressAutoHyphens w:val="true"/>
      <w:bidi w:val="0"/>
      <w:spacing w:before="0" w:after="120"/>
      <w:jc w:val="center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75d58"/>
    <w:rPr/>
  </w:style>
  <w:style w:type="character" w:styleId="RodapChar" w:customStyle="1">
    <w:name w:val="Rodapé Char"/>
    <w:basedOn w:val="DefaultParagraphFont"/>
    <w:uiPriority w:val="99"/>
    <w:qFormat/>
    <w:rsid w:val="00075d58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075d58"/>
    <w:rPr>
      <w:rFonts w:ascii="Tahoma" w:hAnsi="Tahoma" w:cs="Tahoma"/>
      <w:sz w:val="16"/>
      <w:szCs w:val="16"/>
    </w:rPr>
  </w:style>
  <w:style w:type="character" w:styleId="CorpodetextoChar" w:customStyle="1">
    <w:name w:val="Corpo de texto Char"/>
    <w:basedOn w:val="DefaultParagraphFont"/>
    <w:qFormat/>
    <w:rsid w:val="00043c96"/>
    <w:rPr>
      <w:rFonts w:ascii="Bookman Old Style" w:hAnsi="Bookman Old Style" w:eastAsia="Times New Roman" w:cs="Times New Roman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link w:val="CorpodetextoChar"/>
    <w:rsid w:val="00043c96"/>
    <w:pPr>
      <w:spacing w:before="0" w:after="0"/>
      <w:jc w:val="both"/>
    </w:pPr>
    <w:rPr>
      <w:rFonts w:ascii="Bookman Old Style" w:hAnsi="Bookman Old Style" w:eastAsia="Times New Roman" w:cs="Times New Roman"/>
      <w:szCs w:val="20"/>
      <w:lang w:eastAsia="pt-BR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075d58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75d58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75d58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d58"/>
    <w:pPr>
      <w:spacing w:before="0" w:after="120"/>
      <w:ind w:left="720" w:hanging="0"/>
      <w:contextualSpacing/>
    </w:pPr>
    <w:rPr/>
  </w:style>
  <w:style w:type="paragraph" w:styleId="Default" w:customStyle="1">
    <w:name w:val="Default"/>
    <w:qFormat/>
    <w:rsid w:val="00c47d3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C3462EBF334D38A04715AA8768C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88069-756C-4CE8-B16A-166354C14C0B}"/>
      </w:docPartPr>
      <w:docPartBody>
        <w:p w:rsidR="00560C1D" w:rsidRDefault="005359D3" w:rsidP="005359D3">
          <w:pPr>
            <w:pStyle w:val="41C3462EBF334D38A04715AA8768C4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59D3"/>
    <w:rsid w:val="00070A14"/>
    <w:rsid w:val="000C4128"/>
    <w:rsid w:val="00236F75"/>
    <w:rsid w:val="00305C7B"/>
    <w:rsid w:val="00330B7E"/>
    <w:rsid w:val="004E088A"/>
    <w:rsid w:val="00526353"/>
    <w:rsid w:val="005359D3"/>
    <w:rsid w:val="00560C1D"/>
    <w:rsid w:val="00572705"/>
    <w:rsid w:val="005F0E47"/>
    <w:rsid w:val="0062306B"/>
    <w:rsid w:val="00777B90"/>
    <w:rsid w:val="007867B4"/>
    <w:rsid w:val="007C09A4"/>
    <w:rsid w:val="008A1B49"/>
    <w:rsid w:val="009022FD"/>
    <w:rsid w:val="009245FE"/>
    <w:rsid w:val="00A64965"/>
    <w:rsid w:val="00B365E8"/>
    <w:rsid w:val="00C13A7F"/>
    <w:rsid w:val="00C64C2B"/>
    <w:rsid w:val="00CC3445"/>
    <w:rsid w:val="00CE495F"/>
    <w:rsid w:val="00D01513"/>
    <w:rsid w:val="00E356A1"/>
    <w:rsid w:val="00E600F6"/>
    <w:rsid w:val="00F15937"/>
    <w:rsid w:val="00F5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F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1C3462EBF334D38A04715AA8768C4AB">
    <w:name w:val="41C3462EBF334D38A04715AA8768C4AB"/>
    <w:rsid w:val="00535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EF2A-C9FE-47AE-AB0F-EBB9453A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LibreOffice/7.3.2.2$Windows_X86_64 LibreOffice_project/49f2b1bff42cfccbd8f788c8dc32c1c309559be0</Application>
  <AppVersion>15.0000</AppVersion>
  <Pages>3</Pages>
  <Words>657</Words>
  <Characters>3506</Characters>
  <CharactersWithSpaces>4157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2019-04-05T16:19:00Z</dcterms:created>
  <dc:creator>Graziela</dc:creator>
  <dc:description/>
  <dc:language>pt-BR</dc:language>
  <cp:lastModifiedBy/>
  <cp:lastPrinted>2023-06-07T11:08:38Z</cp:lastPrinted>
  <dcterms:modified xsi:type="dcterms:W3CDTF">2023-06-07T14:05:26Z</dcterms:modified>
  <cp:revision>41</cp:revision>
  <dc:subject/>
  <dc:title>CONSELHO MUNICIPAL DOS DIREITOS DA CRIANÇA E DO ADOLESCENTE DE VIADUTOS - COMDICAVI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