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3203A0">
        <w:rPr>
          <w:rFonts w:ascii="Arial" w:hAnsi="Arial" w:cs="Arial"/>
          <w:b/>
          <w:bCs/>
          <w:sz w:val="22"/>
          <w:szCs w:val="22"/>
        </w:rPr>
        <w:t>4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3203A0">
        <w:rPr>
          <w:rFonts w:ascii="Arial" w:hAnsi="Arial" w:cs="Arial"/>
          <w:b/>
          <w:sz w:val="22"/>
          <w:szCs w:val="22"/>
        </w:rPr>
        <w:t>LUCIANO GAIEVSKI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3203A0">
        <w:rPr>
          <w:rFonts w:ascii="Arial" w:hAnsi="Arial" w:cs="Arial"/>
          <w:b/>
          <w:sz w:val="22"/>
          <w:szCs w:val="22"/>
        </w:rPr>
        <w:t>LUCIANO GAIEVSKI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3203A0">
        <w:rPr>
          <w:rFonts w:ascii="Arial" w:hAnsi="Arial" w:cs="Arial"/>
          <w:sz w:val="22"/>
          <w:szCs w:val="22"/>
        </w:rPr>
        <w:t>Santana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3203A0">
        <w:rPr>
          <w:rFonts w:ascii="Arial" w:hAnsi="Arial" w:cs="Arial"/>
          <w:sz w:val="22"/>
          <w:szCs w:val="22"/>
        </w:rPr>
        <w:t>029.547.670-22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3203A0">
        <w:rPr>
          <w:rFonts w:ascii="Arial" w:hAnsi="Arial" w:cs="Arial"/>
          <w:sz w:val="22"/>
          <w:szCs w:val="22"/>
        </w:rPr>
        <w:t>4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D126D5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LUCIANO GAIEVSKI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203A0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04661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126D5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4</cp:revision>
  <cp:lastPrinted>2017-01-04T18:33:00Z</cp:lastPrinted>
  <dcterms:created xsi:type="dcterms:W3CDTF">2017-01-05T10:50:00Z</dcterms:created>
  <dcterms:modified xsi:type="dcterms:W3CDTF">2017-01-05T11:59:00Z</dcterms:modified>
</cp:coreProperties>
</file>