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34/2026 e ratifico a Dispensa por Limite: 27/2026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INDUSTRIA GRAFICA RIO-GRANDENSE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63.061.474/0001-63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6.346,00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confecção e fornecimento de agendas escolares para o </w:t>
      </w:r>
      <w:r>
        <w:rPr>
          <w:sz w:val="24"/>
          <w:szCs w:val="24"/>
        </w:rPr>
        <w:t>início</w:t>
      </w:r>
      <w:r>
        <w:rPr>
          <w:sz w:val="24"/>
          <w:szCs w:val="24"/>
        </w:rPr>
        <w:t xml:space="preserve"> do ano letivo de 2026, com fundamento no Lei n° 14.133/2021, Art. 75, inc. II. Viadutos, </w:t>
      </w:r>
      <w:r>
        <w:rPr>
          <w:sz w:val="24"/>
          <w:szCs w:val="24"/>
        </w:rPr>
        <w:t>26 de janeiro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100</Words>
  <Characters>549</Characters>
  <CharactersWithSpaces>641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2026-01-27T10:53:21Z</cp:lastPrinted>
  <dcterms:modified xsi:type="dcterms:W3CDTF">2026-01-27T10:53:49Z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