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299/2024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peças e serviços para manutenção do britador </w:t>
      </w:r>
      <w:r w:rsidR="00B327C5">
        <w:rPr>
          <w:rFonts w:ascii="Times New Roman" w:hAnsi="Times New Roman"/>
          <w:sz w:val="22"/>
          <w:szCs w:val="22"/>
        </w:rPr>
        <w:t>móvel</w:t>
      </w:r>
      <w:r>
        <w:rPr>
          <w:rFonts w:ascii="Times New Roman" w:hAnsi="Times New Roman"/>
          <w:sz w:val="22"/>
          <w:szCs w:val="22"/>
        </w:rPr>
        <w:t xml:space="preserve"> de modelo PRM 9026 da Secretaria Municipal de Obras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</w:t>
      </w:r>
      <w:r>
        <w:rPr>
          <w:rFonts w:ascii="Times New Roman" w:hAnsi="Times New Roman"/>
          <w:sz w:val="22"/>
          <w:szCs w:val="22"/>
        </w:rPr>
        <w:t xml:space="preserve">objeto: Aquisição de peças e serviços para manutenção do britador </w:t>
      </w:r>
      <w:r w:rsidR="00B327C5">
        <w:rPr>
          <w:rFonts w:ascii="Times New Roman" w:hAnsi="Times New Roman"/>
          <w:sz w:val="22"/>
          <w:szCs w:val="22"/>
        </w:rPr>
        <w:t>móvel</w:t>
      </w:r>
      <w:r>
        <w:rPr>
          <w:rFonts w:ascii="Times New Roman" w:hAnsi="Times New Roman"/>
          <w:sz w:val="22"/>
          <w:szCs w:val="22"/>
        </w:rPr>
        <w:t xml:space="preserve"> de modelo PRM 9026 da Secretaria Municipal de Obras.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299/2024.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o estudo rea</w:t>
      </w:r>
      <w:r>
        <w:rPr>
          <w:rFonts w:ascii="Times New Roman" w:hAnsi="Times New Roman"/>
          <w:sz w:val="22"/>
          <w:szCs w:val="22"/>
        </w:rPr>
        <w:t xml:space="preserve">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663"/>
      </w:tblGrid>
      <w:tr w:rsidR="00970DD2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Motor usado estacionário, completo, em boas condições técnicas, revisado, sem vazamentos, com bomba injetora revisada, com garantia, com teste e laudo de dinamômetro, com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potência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mínima acima de 158 CV, contendo as seguintes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características</w:t>
            </w:r>
            <w:r>
              <w:rPr>
                <w:rFonts w:ascii="Times New Roman" w:hAnsi="Times New Roman"/>
                <w:sz w:val="22"/>
                <w:szCs w:val="22"/>
              </w:rPr>
              <w:t>: modelo 352A,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turbinado,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estacionário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Mercedes Bens, com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garantia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mínima de 6 meses.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Conjunto de disco e platô de embreagem, novos, modelo chapéu chinês de 280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torno e plaina de volante da embreagem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para realizar substituição do dis</w:t>
            </w:r>
            <w:r>
              <w:rPr>
                <w:rFonts w:ascii="Times New Roman" w:hAnsi="Times New Roman"/>
                <w:sz w:val="22"/>
                <w:szCs w:val="22"/>
              </w:rPr>
              <w:t>co e platô de embreagem, realizando todos os ajustes necessários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reforma, limpeza e varetiamento do radiador de água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solda e colocação de reforço nas mandíbulas de britagem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Serviço de torno para realização de </w:t>
            </w:r>
            <w:r>
              <w:rPr>
                <w:rFonts w:ascii="Times New Roman" w:hAnsi="Times New Roman"/>
                <w:sz w:val="22"/>
                <w:szCs w:val="22"/>
              </w:rPr>
              <w:t>embuchamneto dos pinos e buchas dos rolos da esteira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Tanque de combustível com tampa capacidade de 140 litros, com suportes para fixação (tipo redondo)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Relógio horrífero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Manômetro da temperatura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Cabos de bateria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Terminal bateria </w:t>
            </w:r>
            <w:r>
              <w:rPr>
                <w:rFonts w:ascii="Times New Roman" w:hAnsi="Times New Roman"/>
                <w:sz w:val="22"/>
                <w:szCs w:val="22"/>
              </w:rPr>
              <w:t>positivo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Terminal bateria negativo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Caixa de filtro de ar tipo Mercedes 1113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Filtro de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primário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para Mercedes 1113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970DD2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ar secundário para Mercedes 1113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</w:tbl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Pr="00B327C5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327C5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B327C5" w:rsidRPr="00B327C5">
        <w:rPr>
          <w:rFonts w:ascii="Times New Roman" w:hAnsi="Times New Roman"/>
          <w:sz w:val="22"/>
          <w:szCs w:val="22"/>
        </w:rPr>
        <w:t xml:space="preserve">N° 87 </w:t>
      </w:r>
      <w:r w:rsidRPr="00B327C5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</w:t>
      </w:r>
      <w:r>
        <w:rPr>
          <w:rFonts w:ascii="Times New Roman" w:hAnsi="Times New Roman"/>
          <w:sz w:val="22"/>
          <w:szCs w:val="22"/>
        </w:rPr>
        <w:t xml:space="preserve">proposta é a realização de um (a) Pregão, tendo como critério de julgamento Menor Preço, objetivando a contratação de empresa para Aquisição de peças e serviços para manutenção do britador </w:t>
      </w:r>
      <w:r w:rsidR="00B327C5">
        <w:rPr>
          <w:rFonts w:ascii="Times New Roman" w:hAnsi="Times New Roman"/>
          <w:sz w:val="22"/>
          <w:szCs w:val="22"/>
        </w:rPr>
        <w:t>móvel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lastRenderedPageBreak/>
        <w:t>de modelo PRM 9026 da Secretaria Municipal de Obras.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</w:t>
      </w:r>
      <w:r>
        <w:rPr>
          <w:rFonts w:ascii="Times New Roman" w:hAnsi="Times New Roman"/>
          <w:b/>
          <w:bCs/>
          <w:sz w:val="22"/>
          <w:szCs w:val="22"/>
        </w:rPr>
        <w:t>UISITOS DA CONTRATAÇÃO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</w:t>
      </w:r>
      <w:r>
        <w:rPr>
          <w:rFonts w:ascii="Times New Roman" w:hAnsi="Times New Roman"/>
          <w:sz w:val="22"/>
          <w:szCs w:val="22"/>
        </w:rPr>
        <w:t>o art. 6º, inciso XIII, da Lei Federal nº 14.133/2021.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</w:t>
      </w:r>
      <w:r>
        <w:rPr>
          <w:rFonts w:ascii="Times New Roman" w:hAnsi="Times New Roman"/>
          <w:sz w:val="22"/>
          <w:szCs w:val="22"/>
        </w:rPr>
        <w:t xml:space="preserve"> da Lei Federal nº 14.133/2021.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Aquisição de peças e serviços para manutenção do britador</w:t>
      </w:r>
      <w:r>
        <w:rPr>
          <w:rFonts w:ascii="Times New Roman" w:hAnsi="Times New Roman"/>
          <w:sz w:val="22"/>
          <w:szCs w:val="22"/>
        </w:rPr>
        <w:t xml:space="preserve"> </w:t>
      </w:r>
      <w:r w:rsidR="00B327C5">
        <w:rPr>
          <w:rFonts w:ascii="Times New Roman" w:hAnsi="Times New Roman"/>
          <w:sz w:val="22"/>
          <w:szCs w:val="22"/>
        </w:rPr>
        <w:t>móvel</w:t>
      </w:r>
      <w:r>
        <w:rPr>
          <w:rFonts w:ascii="Times New Roman" w:hAnsi="Times New Roman"/>
          <w:sz w:val="22"/>
          <w:szCs w:val="22"/>
        </w:rPr>
        <w:t xml:space="preserve"> de modelo PRM 9026 da Secretaria Municipal de Obras.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produtos/s</w:t>
      </w:r>
      <w:r w:rsidR="00B327C5">
        <w:rPr>
          <w:rFonts w:ascii="Times New Roman" w:hAnsi="Times New Roman"/>
          <w:sz w:val="22"/>
          <w:szCs w:val="22"/>
        </w:rPr>
        <w:t>erviços deverão ser entregues conforme solicitados pelo responsável.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</w:t>
      </w:r>
      <w:r>
        <w:rPr>
          <w:rFonts w:ascii="Times New Roman" w:hAnsi="Times New Roman"/>
          <w:sz w:val="22"/>
          <w:szCs w:val="22"/>
        </w:rPr>
        <w:t>o no Decreto Municipal, que “Regulamenta as funções do agente de contratação, da equipe de apoio e da comissão de contratação, suas atribuições e funcionamento, a fiscalização e a gestão dos contratos, e a atuação da assessoria jurídica e do controle inter</w:t>
      </w:r>
      <w:r>
        <w:rPr>
          <w:rFonts w:ascii="Times New Roman" w:hAnsi="Times New Roman"/>
          <w:sz w:val="22"/>
          <w:szCs w:val="22"/>
        </w:rPr>
        <w:t>no no âmbito do Município de Viadutos, nos termos da Lei Federal nº 14.133/2021”.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</w:t>
      </w:r>
      <w:r w:rsidR="00B327C5">
        <w:rPr>
          <w:rFonts w:ascii="Times New Roman" w:hAnsi="Times New Roman"/>
          <w:sz w:val="22"/>
          <w:szCs w:val="22"/>
        </w:rPr>
        <w:t>o é previsto para ser efetuado c</w:t>
      </w:r>
      <w:r>
        <w:rPr>
          <w:rFonts w:ascii="Times New Roman" w:hAnsi="Times New Roman"/>
          <w:sz w:val="22"/>
          <w:szCs w:val="22"/>
        </w:rPr>
        <w:t>onforme contrato, mediante apresentação da Nota Fiscal da Empresa e após a devida conferênc</w:t>
      </w:r>
      <w:r>
        <w:rPr>
          <w:rFonts w:ascii="Times New Roman" w:hAnsi="Times New Roman"/>
          <w:sz w:val="22"/>
          <w:szCs w:val="22"/>
        </w:rPr>
        <w:t>ia e consequente liquidação/ateste de que os produtos/serviços foram entregues/prestados de forma adequada.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</w:t>
      </w:r>
      <w:r>
        <w:rPr>
          <w:rFonts w:ascii="Times New Roman" w:hAnsi="Times New Roman"/>
          <w:sz w:val="22"/>
          <w:szCs w:val="22"/>
        </w:rPr>
        <w:t>esso de Pregão.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538"/>
      </w:tblGrid>
      <w:tr w:rsidR="00970DD2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Motor usado estacionário, completo, em boas condições técnicas, revisado, sem vazamentos, com bomba injetora revisada, com garantia, com teste e laudo de dinamômetro, com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potência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mínima acima de 158 CV, contendo as seguintes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características</w:t>
            </w:r>
            <w:r>
              <w:rPr>
                <w:rFonts w:ascii="Times New Roman" w:hAnsi="Times New Roman"/>
                <w:sz w:val="22"/>
                <w:szCs w:val="22"/>
              </w:rPr>
              <w:t>: modelo 352A,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turbinado,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estacionário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Mercedes Bens, com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garantia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mínima de 6 meses.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30.933,33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30.933,33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Conjunto de disco e platô de embreagem, novos, modelo chapéu chinês de 280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2.413,33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2.413,33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torno e plaina de volante da embreagem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para realizar substituição do disco e platô de embreagem, realizando todos os ajustes necessários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1.416,66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1.416,66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reforma, limpeza e varetiamento do radiador de água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981,66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981,66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Serviço de solda e colocação </w:t>
            </w:r>
            <w:r>
              <w:rPr>
                <w:rFonts w:ascii="Times New Roman" w:hAnsi="Times New Roman"/>
                <w:sz w:val="22"/>
                <w:szCs w:val="22"/>
              </w:rPr>
              <w:t>de reforço nas mandíbulas de britagem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1.660,00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1.660,00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Serviço de torno para realização de embuchamneto dos pinos e buchas dos rolos da esteira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1.740,00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1.740,00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Tanque de combustível com tampa capacidade de 140 litros, com suportes para fixação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(tipo redondo)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1.352,66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1.352,66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Relógio horrífero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209,33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Manômetro da temperatura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Cabos de bateria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666,65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Terminal bateria positivo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57,32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Terminal bateria negativo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57,32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Caixa de </w:t>
            </w:r>
            <w:r>
              <w:rPr>
                <w:rFonts w:ascii="Times New Roman" w:hAnsi="Times New Roman"/>
                <w:sz w:val="22"/>
                <w:szCs w:val="22"/>
              </w:rPr>
              <w:t>filtro de ar tipo Mercedes 1113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952,66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952,66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Filtro de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27C5">
              <w:rPr>
                <w:rFonts w:ascii="Times New Roman" w:hAnsi="Times New Roman"/>
                <w:sz w:val="22"/>
                <w:szCs w:val="22"/>
              </w:rPr>
              <w:t>primário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para Mercedes 1113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153,00</w:t>
            </w:r>
          </w:p>
        </w:tc>
      </w:tr>
      <w:tr w:rsidR="00970DD2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ar secundário para Mercedes 1113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121,00</w:t>
            </w:r>
          </w:p>
        </w:tc>
      </w:tr>
    </w:tbl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</w:t>
      </w:r>
      <w:r>
        <w:rPr>
          <w:rFonts w:ascii="Times New Roman" w:hAnsi="Times New Roman"/>
          <w:sz w:val="22"/>
          <w:szCs w:val="22"/>
        </w:rPr>
        <w:t xml:space="preserve"> observando-se o disposto no Decreto Municipal, que “Estabelece o procedimento administrativo para a realização de pesquisa de preços para aquisição de bens, contratação de serviços em geral e para contratação de obras e serviços de engenharia no âmbito do</w:t>
      </w:r>
      <w:r>
        <w:rPr>
          <w:rFonts w:ascii="Times New Roman" w:hAnsi="Times New Roman"/>
          <w:sz w:val="22"/>
          <w:szCs w:val="22"/>
        </w:rPr>
        <w:t xml:space="preserve"> Município de Viadutos, nos termos da Lei Federal nº 14.133/2021”, nos termos do art. 23, § 1º, da Lei Federal nº 14.133/2021.</w:t>
      </w: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70DD2" w:rsidRDefault="00CE2FE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970DD2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70DD2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DD2" w:rsidRDefault="00CE2F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bookmarkStart w:id="0" w:name="_GoBack"/>
      <w:bookmarkEnd w:id="0"/>
      <w:r w:rsidR="00B327C5">
        <w:rPr>
          <w:rFonts w:ascii="Times New Roman" w:hAnsi="Times New Roman"/>
          <w:sz w:val="22"/>
          <w:szCs w:val="22"/>
        </w:rPr>
        <w:t>08 DE ABRIL DE 2024</w:t>
      </w: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70DD2" w:rsidRDefault="00CE2FE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970DD2" w:rsidRDefault="00CE2FE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970DD2" w:rsidRDefault="00970DD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70DD2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2FED">
      <w:r>
        <w:separator/>
      </w:r>
    </w:p>
  </w:endnote>
  <w:endnote w:type="continuationSeparator" w:id="0">
    <w:p w:rsidR="00000000" w:rsidRDefault="00CE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D2" w:rsidRDefault="00CE2FE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70DD2" w:rsidRDefault="00CE2FE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70DD2" w:rsidRDefault="00CE2FE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2FED">
      <w:r>
        <w:separator/>
      </w:r>
    </w:p>
  </w:footnote>
  <w:footnote w:type="continuationSeparator" w:id="0">
    <w:p w:rsidR="00000000" w:rsidRDefault="00CE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D2" w:rsidRDefault="00CE2FE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70DD2" w:rsidRDefault="00CE2FE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 xml:space="preserve">PREFEITURA </w:t>
    </w:r>
    <w:r>
      <w:rPr>
        <w:rFonts w:ascii="Century Gothic" w:hAnsi="Century Gothic" w:cs="Century Gothic"/>
        <w:b/>
        <w:sz w:val="28"/>
        <w:lang w:eastAsia="pt-BR"/>
      </w:rPr>
      <w:t>MUNICIPAL DE VIADUTOS</w:t>
    </w:r>
  </w:p>
  <w:p w:rsidR="00970DD2" w:rsidRDefault="00970DD2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970DD2" w:rsidRDefault="00970DD2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549"/>
    <w:multiLevelType w:val="multilevel"/>
    <w:tmpl w:val="9912A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0DD2"/>
    <w:rsid w:val="00970DD2"/>
    <w:rsid w:val="00B327C5"/>
    <w:rsid w:val="00C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08C10-DC84-44DB-8470-23E82A34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17</cp:revision>
  <dcterms:created xsi:type="dcterms:W3CDTF">2023-06-05T10:43:00Z</dcterms:created>
  <dcterms:modified xsi:type="dcterms:W3CDTF">2024-04-09T19:11:00Z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