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508/2024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do gira círculo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do gira círculo da motoniveladora GD 555,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solda e pequenos reparos nos veículos e máquinas desta Secretaria.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de mangueira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lisa 3/4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COMBUSTIVEL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de retorno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Limpa freios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Bobina de reatância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508/2024.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solda e pequenos reparos nos veículos e máquinas desta Secretaria.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de mangueira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lisa 3/4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COMBUSTIVEL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de retorno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Limpa freios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Bobina de reatância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materiais para a manutenção do gira círculo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do gira círculo da motoniveladora GD 555,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solda e pequenos reparos nos veículos e máquinas desta Secretaria.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substituição de mangueira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Substituir Válvulas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lisa 3/4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COMBUSTIVEL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sextavado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Válvula de retorno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Limpa freios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Bobina de reatância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09/10/24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4</Pages>
  <Words>799</Words>
  <Characters>4524</Characters>
  <CharactersWithSpaces>5206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2024-10-09T16:01:04Z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