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Nº213/2026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quisição de produtos conforme Lei de Benefício Eventual em virtude do </w:t>
      </w:r>
      <w:r>
        <w:rPr>
          <w:rFonts w:ascii="Arial" w:hAnsi="Arial"/>
          <w:sz w:val="24"/>
          <w:szCs w:val="24"/>
        </w:rPr>
        <w:t>auxílio-natalidade</w:t>
      </w:r>
      <w:r>
        <w:rPr>
          <w:rFonts w:ascii="Arial" w:hAnsi="Arial"/>
          <w:sz w:val="24"/>
          <w:szCs w:val="24"/>
        </w:rPr>
        <w:t xml:space="preserve"> de N.H.F.,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 xml:space="preserve">aviso. As propostas poderão ser entregues pessoalmente na sede do Município ou via e-mail </w:t>
      </w:r>
      <w:hyperlink r:id="rId2">
        <w:r>
          <w:rPr>
            <w:rStyle w:val="LinkdaInternet"/>
            <w:rFonts w:ascii="Arial" w:hAnsi="Arial"/>
            <w:sz w:val="24"/>
            <w:szCs w:val="24"/>
          </w:rPr>
          <w:t>compras@viadutos.rs.gov.br</w:t>
        </w:r>
      </w:hyperlink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 xml:space="preserve">RS, </w:t>
      </w:r>
      <w:r>
        <w:rPr>
          <w:rFonts w:ascii="Arial" w:hAnsi="Arial"/>
          <w:sz w:val="24"/>
          <w:szCs w:val="24"/>
        </w:rPr>
        <w:t>11 de maio de 2026.</w:t>
      </w:r>
      <w:r>
        <w:rPr>
          <w:rFonts w:ascii="Arial" w:hAnsi="Arial"/>
          <w:sz w:val="24"/>
          <w:szCs w:val="24"/>
        </w:rPr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entrega: Prefeitura Municipal de Viadutos.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Certidão Negativa de Falência e </w:t>
      </w:r>
      <w:r>
        <w:rPr>
          <w:rFonts w:ascii="Arial" w:hAnsi="Arial"/>
          <w:sz w:val="22"/>
          <w:szCs w:val="22"/>
        </w:rPr>
        <w:t>Concordata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5"/>
        <w:gridCol w:w="3105"/>
        <w:gridCol w:w="1148"/>
        <w:gridCol w:w="1147"/>
        <w:gridCol w:w="1147"/>
        <w:gridCol w:w="1207"/>
        <w:gridCol w:w="1171"/>
      </w:tblGrid>
      <w:tr>
        <w:trPr/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Lenço umedecido pacote com 100 unidades.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Sabonete infantil 90 g.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Shampoo infantil, 400 ml.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Fralda descartável infantil tamanho M. </w:t>
            </w:r>
            <w:r>
              <w:rPr>
                <w:rFonts w:ascii="Arial" w:hAnsi="Arial"/>
                <w:sz w:val="22"/>
                <w:szCs w:val="22"/>
              </w:rPr>
              <w:t>Pacotes com 40 unidades.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Pct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Fralda descartável infantil tamanho G. </w:t>
            </w:r>
            <w:r>
              <w:rPr>
                <w:rFonts w:ascii="Arial" w:hAnsi="Arial"/>
                <w:sz w:val="22"/>
                <w:szCs w:val="22"/>
              </w:rPr>
              <w:t>Pacotes com 34 unidades.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Pct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Fralda infantil, descartável, tamanho XG. </w:t>
            </w:r>
            <w:r>
              <w:rPr>
                <w:rFonts w:ascii="Arial" w:hAnsi="Arial"/>
                <w:sz w:val="22"/>
                <w:szCs w:val="22"/>
              </w:rPr>
              <w:t>Pacotes com 32 unidades.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Pct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Fralda descartável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infantil  XXG. </w:t>
            </w:r>
            <w:r>
              <w:rPr>
                <w:rFonts w:ascii="Arial" w:hAnsi="Arial"/>
                <w:sz w:val="22"/>
                <w:szCs w:val="22"/>
              </w:rPr>
              <w:t>Pacotes com 30 unidades.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Pct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3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viadutos.rs.gov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</TotalTime>
  <Application>LibreOffice/6.4.4.2$Windows_X86_64 LibreOffice_project/3d775be2011f3886db32dfd395a6a6d1ca2630ff</Application>
  <Pages>2</Pages>
  <Words>350</Words>
  <Characters>1859</Characters>
  <CharactersWithSpaces>2145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2025-10-07T15:44:07Z</cp:lastPrinted>
  <dcterms:modified xsi:type="dcterms:W3CDTF">2026-05-11T10:54:17Z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