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sz w:val="24"/>
          <w:szCs w:val="24"/>
        </w:rPr>
      </w:pPr>
      <w:r>
        <w:rPr>
          <w:sz w:val="24"/>
          <w:szCs w:val="24"/>
        </w:rPr>
      </w:r>
    </w:p>
    <w:p>
      <w:pPr>
        <w:pStyle w:val="Normal"/>
        <w:spacing w:lineRule="auto" w:line="276"/>
        <w:jc w:val="center"/>
        <w:rPr>
          <w:sz w:val="24"/>
          <w:szCs w:val="24"/>
        </w:rPr>
      </w:pPr>
      <w:r>
        <w:rPr>
          <w:sz w:val="24"/>
          <w:szCs w:val="24"/>
        </w:rPr>
        <w:tab/>
      </w:r>
      <w:r>
        <w:rPr>
          <w:sz w:val="22"/>
          <w:szCs w:val="22"/>
        </w:rPr>
        <w:t>AVISO DE DISPENSA LICITAÇÃO Nº409/2025</w:t>
      </w:r>
    </w:p>
    <w:p>
      <w:pPr>
        <w:pStyle w:val="Normal"/>
        <w:spacing w:lineRule="auto" w:line="276"/>
        <w:jc w:val="center"/>
        <w:rPr>
          <w:sz w:val="22"/>
          <w:szCs w:val="22"/>
        </w:rPr>
      </w:pPr>
      <w:r>
        <w:rPr>
          <w:sz w:val="22"/>
          <w:szCs w:val="22"/>
        </w:rPr>
      </w:r>
    </w:p>
    <w:p>
      <w:pPr>
        <w:pStyle w:val="Normal"/>
        <w:spacing w:lineRule="auto" w:line="276"/>
        <w:jc w:val="both"/>
        <w:rPr>
          <w:sz w:val="22"/>
          <w:szCs w:val="22"/>
        </w:rPr>
      </w:pPr>
      <w:r>
        <w:rPr>
          <w:sz w:val="22"/>
          <w:szCs w:val="22"/>
        </w:rPr>
        <w:t>O Município de Viadutos torna público para recebimento de possíveis propostas de conformidade ao § 3º do artigo 75 da lei de licitações - para conhecimento dos interessados a PUBLICAÇÃO do processo de dispensa de licitação nº.409/2025,</w:t>
      </w:r>
      <w:r>
        <w:rPr>
          <w:sz w:val="22"/>
          <w:szCs w:val="22"/>
        </w:rPr>
        <w:t>que tem por objeto</w:t>
      </w:r>
      <w:r>
        <w:rPr>
          <w:sz w:val="22"/>
          <w:szCs w:val="22"/>
        </w:rPr>
        <w:t xml:space="preserve"> Dispensa de Licitação para locação de brinquedos </w:t>
      </w:r>
      <w:r>
        <w:rPr>
          <w:sz w:val="22"/>
          <w:szCs w:val="22"/>
        </w:rPr>
        <w:t>infláveis</w:t>
      </w:r>
      <w:r>
        <w:rPr>
          <w:sz w:val="22"/>
          <w:szCs w:val="22"/>
        </w:rPr>
        <w:t xml:space="preserve"> acompanhado por monitor, para comemoração do dia das crianças, a ser realizado nos dias 09 e 10 de outubro nas </w:t>
      </w:r>
      <w:r>
        <w:rPr>
          <w:sz w:val="22"/>
          <w:szCs w:val="22"/>
        </w:rPr>
        <w:t>dependências</w:t>
      </w:r>
      <w:r>
        <w:rPr>
          <w:sz w:val="22"/>
          <w:szCs w:val="22"/>
        </w:rPr>
        <w:t xml:space="preserve"> da Escola </w:t>
      </w:r>
      <w:r>
        <w:rPr>
          <w:sz w:val="22"/>
          <w:szCs w:val="22"/>
        </w:rPr>
        <w:t>Municipal de Educação Infantil</w:t>
      </w:r>
      <w:r>
        <w:rPr>
          <w:sz w:val="22"/>
          <w:szCs w:val="22"/>
        </w:rPr>
        <w:t xml:space="preserve">. Tipo – </w:t>
      </w:r>
      <w:r>
        <w:rPr>
          <w:rFonts w:cs="Consolas"/>
          <w:b/>
          <w:bCs/>
          <w:color w:val="000000"/>
          <w:sz w:val="22"/>
          <w:szCs w:val="22"/>
        </w:rPr>
        <w:t>GLOBAL</w:t>
      </w:r>
      <w:r>
        <w:rPr>
          <w:sz w:val="22"/>
          <w:szCs w:val="22"/>
        </w:rPr>
        <w:t xml:space="preserve">. As propostas deverão ser entregues </w:t>
      </w:r>
      <w:r>
        <w:rPr>
          <w:sz w:val="22"/>
          <w:szCs w:val="22"/>
        </w:rPr>
        <w:t>até as</w:t>
      </w:r>
      <w:r>
        <w:rPr>
          <w:sz w:val="22"/>
          <w:szCs w:val="22"/>
        </w:rPr>
        <w:t xml:space="preserve"> 17:00 do terceiro dia útil da publicação deste extrato, conforme anexo I do referido </w:t>
      </w:r>
      <w:r>
        <w:rPr>
          <w:sz w:val="22"/>
          <w:szCs w:val="22"/>
        </w:rPr>
        <w:t>modelo de orçamento,</w:t>
      </w:r>
      <w:r>
        <w:rPr>
          <w:sz w:val="22"/>
          <w:szCs w:val="22"/>
        </w:rPr>
        <w:t xml:space="preserve"> que pode ser encontrado no site www.viadutos.rs.gov.br, ou na sede do Município Rua Anastácio Ribeiro nº 84 Centro, Viadutos. As propostas poderão ser entregues pessoalmente na sede do Município ou via e-mail compras</w:t>
      </w:r>
      <w:r>
        <w:rPr>
          <w:sz w:val="22"/>
          <w:szCs w:val="22"/>
        </w:rPr>
        <w:t>2</w:t>
      </w:r>
      <w:r>
        <w:rPr>
          <w:sz w:val="22"/>
          <w:szCs w:val="22"/>
        </w:rPr>
        <w:t xml:space="preserve">@viadutos.rs.gov.br, desde que assinadas digitalmente. Dúvidas podem ser sanadas na sede do Município, ou via telefone: 54 3196 3060. Horário de atendimento (inclusive para entregas da proposta): das 08:00 às 17:00. </w:t>
      </w:r>
    </w:p>
    <w:p>
      <w:pPr>
        <w:pStyle w:val="Normal"/>
        <w:spacing w:lineRule="auto" w:line="276"/>
        <w:jc w:val="both"/>
        <w:rPr>
          <w:sz w:val="22"/>
          <w:szCs w:val="22"/>
        </w:rPr>
      </w:pPr>
      <w:r>
        <w:rPr>
          <w:sz w:val="22"/>
          <w:szCs w:val="22"/>
        </w:rPr>
      </w:r>
    </w:p>
    <w:p>
      <w:pPr>
        <w:pStyle w:val="Normal"/>
        <w:spacing w:lineRule="auto" w:line="276"/>
        <w:jc w:val="both"/>
        <w:rPr>
          <w:sz w:val="22"/>
          <w:szCs w:val="22"/>
        </w:rPr>
      </w:pPr>
      <w:r>
        <w:rPr>
          <w:sz w:val="22"/>
          <w:szCs w:val="22"/>
        </w:rPr>
        <w:t>Camile Dallagnol – Agente de contratação do Município.</w:t>
      </w:r>
    </w:p>
    <w:p>
      <w:pPr>
        <w:pStyle w:val="Normal"/>
        <w:spacing w:lineRule="auto" w:line="276"/>
        <w:jc w:val="both"/>
        <w:rPr>
          <w:sz w:val="22"/>
          <w:szCs w:val="22"/>
        </w:rPr>
      </w:pPr>
      <w:r>
        <w:rPr>
          <w:sz w:val="22"/>
          <w:szCs w:val="22"/>
        </w:rPr>
      </w:r>
    </w:p>
    <w:p>
      <w:pPr>
        <w:pStyle w:val="Normal"/>
        <w:spacing w:lineRule="auto" w:line="276"/>
        <w:jc w:val="left"/>
        <w:rPr>
          <w:sz w:val="22"/>
          <w:szCs w:val="22"/>
        </w:rPr>
      </w:pPr>
      <w:r>
        <w:rPr>
          <w:sz w:val="22"/>
          <w:szCs w:val="22"/>
        </w:rPr>
        <w:t xml:space="preserve">Viadutos, </w:t>
      </w:r>
      <w:r>
        <w:rPr>
          <w:sz w:val="22"/>
          <w:szCs w:val="22"/>
        </w:rPr>
        <w:t>25 de setembro de 2025.</w:t>
      </w:r>
      <w:r>
        <w:rPr>
          <w:sz w:val="22"/>
          <w:szCs w:val="22"/>
        </w:rPr>
        <w:tab/>
        <w:tab/>
        <w:tab/>
      </w:r>
      <w:r>
        <w:rPr>
          <w:sz w:val="22"/>
          <w:szCs w:val="22"/>
        </w:rPr>
        <w:t xml:space="preserve"> </w:t>
      </w:r>
    </w:p>
    <w:p>
      <w:pPr>
        <w:pStyle w:val="Normal"/>
        <w:spacing w:lineRule="auto" w:line="276"/>
        <w:jc w:val="both"/>
        <w:rPr>
          <w:sz w:val="22"/>
          <w:szCs w:val="22"/>
        </w:rPr>
      </w:pPr>
      <w:r>
        <w:rPr>
          <w:sz w:val="22"/>
          <w:szCs w:val="22"/>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center"/>
        <w:rPr>
          <w:b/>
          <w:b/>
          <w:bCs/>
          <w:sz w:val="22"/>
          <w:szCs w:val="22"/>
        </w:rPr>
      </w:pPr>
      <w:r>
        <w:rPr>
          <w:b/>
          <w:bCs/>
          <w:sz w:val="22"/>
          <w:szCs w:val="22"/>
        </w:rPr>
      </w:r>
    </w:p>
    <w:p>
      <w:pPr>
        <w:pStyle w:val="Normal"/>
        <w:spacing w:lineRule="auto" w:line="276"/>
        <w:jc w:val="center"/>
        <w:rPr>
          <w:b/>
          <w:b/>
          <w:bCs/>
          <w:sz w:val="22"/>
          <w:szCs w:val="22"/>
        </w:rPr>
      </w:pPr>
      <w:r>
        <w:rPr>
          <w:b/>
          <w:bCs/>
          <w:sz w:val="22"/>
          <w:szCs w:val="22"/>
        </w:rPr>
        <w:t>Anexo I</w:t>
      </w:r>
    </w:p>
    <w:p>
      <w:pPr>
        <w:pStyle w:val="Normal"/>
        <w:spacing w:lineRule="auto" w:line="276"/>
        <w:jc w:val="center"/>
        <w:rPr>
          <w:b/>
          <w:b/>
          <w:bCs/>
          <w:sz w:val="22"/>
          <w:szCs w:val="22"/>
        </w:rPr>
      </w:pPr>
      <w:r>
        <w:rPr>
          <w:b/>
          <w:bCs/>
          <w:sz w:val="22"/>
          <w:szCs w:val="22"/>
        </w:rPr>
        <w:t>Modelo de Orçamento</w:t>
      </w:r>
    </w:p>
    <w:p>
      <w:pPr>
        <w:pStyle w:val="Normal"/>
        <w:spacing w:lineRule="auto" w:line="276"/>
        <w:jc w:val="center"/>
        <w:rPr>
          <w:sz w:val="22"/>
          <w:szCs w:val="22"/>
        </w:rPr>
      </w:pPr>
      <w:r>
        <w:rPr>
          <w:sz w:val="22"/>
          <w:szCs w:val="22"/>
        </w:rPr>
      </w:r>
    </w:p>
    <w:tbl>
      <w:tblPr>
        <w:tblW w:w="10110" w:type="dxa"/>
        <w:jc w:val="left"/>
        <w:tblInd w:w="-418" w:type="dxa"/>
        <w:tblCellMar>
          <w:top w:w="55" w:type="dxa"/>
          <w:left w:w="55" w:type="dxa"/>
          <w:bottom w:w="55" w:type="dxa"/>
          <w:right w:w="55" w:type="dxa"/>
        </w:tblCellMar>
      </w:tblPr>
      <w:tblGrid>
        <w:gridCol w:w="915"/>
        <w:gridCol w:w="928"/>
        <w:gridCol w:w="2447"/>
        <w:gridCol w:w="1148"/>
        <w:gridCol w:w="1720"/>
        <w:gridCol w:w="1781"/>
        <w:gridCol w:w="1171"/>
      </w:tblGrid>
      <w:tr>
        <w:trPr/>
        <w:tc>
          <w:tcPr>
            <w:tcW w:w="915" w:type="dxa"/>
            <w:tcBorders>
              <w:top w:val="single" w:sz="2" w:space="0" w:color="000000"/>
              <w:left w:val="single" w:sz="2" w:space="0" w:color="000000"/>
              <w:bottom w:val="single" w:sz="2" w:space="0" w:color="000000"/>
            </w:tcBorders>
          </w:tcPr>
          <w:p>
            <w:pPr>
              <w:pStyle w:val="Contedodatabela"/>
              <w:jc w:val="center"/>
              <w:rPr>
                <w:b/>
                <w:b/>
                <w:bCs/>
                <w:sz w:val="22"/>
                <w:szCs w:val="22"/>
              </w:rPr>
            </w:pPr>
            <w:r>
              <w:rPr>
                <w:b/>
                <w:bCs/>
                <w:sz w:val="22"/>
                <w:szCs w:val="22"/>
              </w:rPr>
              <w:t>Lote</w:t>
            </w:r>
          </w:p>
        </w:tc>
        <w:tc>
          <w:tcPr>
            <w:tcW w:w="928" w:type="dxa"/>
            <w:tcBorders>
              <w:top w:val="single" w:sz="2" w:space="0" w:color="000000"/>
              <w:left w:val="single" w:sz="2" w:space="0" w:color="000000"/>
              <w:bottom w:val="single" w:sz="2" w:space="0" w:color="000000"/>
            </w:tcBorders>
          </w:tcPr>
          <w:p>
            <w:pPr>
              <w:pStyle w:val="Contedodatabela"/>
              <w:jc w:val="center"/>
              <w:rPr>
                <w:b/>
                <w:b/>
                <w:bCs/>
                <w:sz w:val="22"/>
                <w:szCs w:val="22"/>
              </w:rPr>
            </w:pPr>
            <w:r>
              <w:rPr>
                <w:b/>
                <w:bCs/>
                <w:sz w:val="22"/>
                <w:szCs w:val="22"/>
              </w:rPr>
              <w:t>Item</w:t>
            </w:r>
          </w:p>
        </w:tc>
        <w:tc>
          <w:tcPr>
            <w:tcW w:w="2447" w:type="dxa"/>
            <w:tcBorders>
              <w:top w:val="single" w:sz="2" w:space="0" w:color="000000"/>
              <w:left w:val="single" w:sz="2" w:space="0" w:color="000000"/>
              <w:bottom w:val="single" w:sz="2" w:space="0" w:color="000000"/>
            </w:tcBorders>
          </w:tcPr>
          <w:p>
            <w:pPr>
              <w:pStyle w:val="Contedodatabela"/>
              <w:jc w:val="center"/>
              <w:rPr>
                <w:b/>
                <w:b/>
                <w:bCs/>
                <w:sz w:val="22"/>
                <w:szCs w:val="22"/>
              </w:rPr>
            </w:pPr>
            <w:r>
              <w:rPr>
                <w:b/>
                <w:bCs/>
                <w:sz w:val="22"/>
                <w:szCs w:val="22"/>
              </w:rPr>
              <w:t>Descrição</w:t>
            </w:r>
          </w:p>
        </w:tc>
        <w:tc>
          <w:tcPr>
            <w:tcW w:w="1148" w:type="dxa"/>
            <w:tcBorders>
              <w:top w:val="single" w:sz="2" w:space="0" w:color="000000"/>
              <w:left w:val="single" w:sz="2" w:space="0" w:color="000000"/>
              <w:bottom w:val="single" w:sz="2" w:space="0" w:color="000000"/>
            </w:tcBorders>
          </w:tcPr>
          <w:p>
            <w:pPr>
              <w:pStyle w:val="Contedodatabela"/>
              <w:jc w:val="center"/>
              <w:rPr>
                <w:b/>
                <w:b/>
                <w:bCs/>
                <w:sz w:val="22"/>
                <w:szCs w:val="22"/>
              </w:rPr>
            </w:pPr>
            <w:r>
              <w:rPr>
                <w:b/>
                <w:bCs/>
                <w:sz w:val="22"/>
                <w:szCs w:val="22"/>
              </w:rPr>
              <w:t>Quantidade</w:t>
            </w:r>
          </w:p>
        </w:tc>
        <w:tc>
          <w:tcPr>
            <w:tcW w:w="1720" w:type="dxa"/>
            <w:tcBorders>
              <w:top w:val="single" w:sz="2" w:space="0" w:color="000000"/>
              <w:left w:val="single" w:sz="2" w:space="0" w:color="000000"/>
              <w:bottom w:val="single" w:sz="2" w:space="0" w:color="000000"/>
            </w:tcBorders>
          </w:tcPr>
          <w:p>
            <w:pPr>
              <w:pStyle w:val="Contedodatabela"/>
              <w:jc w:val="center"/>
              <w:rPr>
                <w:b/>
                <w:b/>
                <w:bCs/>
                <w:sz w:val="22"/>
                <w:szCs w:val="22"/>
              </w:rPr>
            </w:pPr>
            <w:r>
              <w:rPr>
                <w:b/>
                <w:bCs/>
                <w:sz w:val="22"/>
                <w:szCs w:val="22"/>
              </w:rPr>
              <w:t>Unidade</w:t>
            </w:r>
          </w:p>
        </w:tc>
        <w:tc>
          <w:tcPr>
            <w:tcW w:w="1781" w:type="dxa"/>
            <w:tcBorders>
              <w:top w:val="single" w:sz="2" w:space="0" w:color="000000"/>
              <w:left w:val="single" w:sz="2" w:space="0" w:color="000000"/>
              <w:bottom w:val="single" w:sz="2" w:space="0" w:color="000000"/>
            </w:tcBorders>
          </w:tcPr>
          <w:p>
            <w:pPr>
              <w:pStyle w:val="Contedodatabela"/>
              <w:jc w:val="center"/>
              <w:rPr>
                <w:b/>
                <w:b/>
                <w:bCs/>
                <w:sz w:val="22"/>
                <w:szCs w:val="22"/>
              </w:rPr>
            </w:pPr>
            <w:r>
              <w:rPr>
                <w:b/>
                <w:bCs/>
                <w:sz w:val="22"/>
                <w:szCs w:val="22"/>
              </w:rPr>
              <w:t>Unitário</w:t>
            </w:r>
          </w:p>
        </w:tc>
        <w:tc>
          <w:tcPr>
            <w:tcW w:w="1171" w:type="dxa"/>
            <w:tcBorders>
              <w:top w:val="single" w:sz="2" w:space="0" w:color="000000"/>
              <w:left w:val="single" w:sz="2" w:space="0" w:color="000000"/>
              <w:bottom w:val="single" w:sz="2" w:space="0" w:color="000000"/>
              <w:right w:val="single" w:sz="2" w:space="0" w:color="000000"/>
            </w:tcBorders>
          </w:tcPr>
          <w:p>
            <w:pPr>
              <w:pStyle w:val="Contedodatabela"/>
              <w:jc w:val="center"/>
              <w:rPr>
                <w:b/>
                <w:b/>
                <w:bCs/>
                <w:sz w:val="22"/>
                <w:szCs w:val="22"/>
              </w:rPr>
            </w:pPr>
            <w:r>
              <w:rPr>
                <w:b/>
                <w:bCs/>
                <w:sz w:val="22"/>
                <w:szCs w:val="22"/>
              </w:rPr>
              <w:t>Total</w:t>
            </w:r>
          </w:p>
        </w:tc>
      </w:tr>
      <w:tr>
        <w:trPr/>
        <w:tc>
          <w:tcPr>
            <w:tcW w:w="915" w:type="dxa"/>
            <w:tcBorders>
              <w:left w:val="single" w:sz="2" w:space="0" w:color="000000"/>
              <w:bottom w:val="single" w:sz="2" w:space="0" w:color="000000"/>
            </w:tcBorders>
          </w:tcPr>
          <w:p>
            <w:pPr>
              <w:pStyle w:val="Contedodatabela"/>
              <w:jc w:val="center"/>
              <w:rPr>
                <w:sz w:val="22"/>
                <w:szCs w:val="22"/>
              </w:rPr>
            </w:pPr>
            <w:r>
              <w:rPr>
                <w:sz w:val="22"/>
                <w:szCs w:val="22"/>
              </w:rPr>
              <w:t>1</w:t>
            </w:r>
          </w:p>
        </w:tc>
        <w:tc>
          <w:tcPr>
            <w:tcW w:w="928" w:type="dxa"/>
            <w:tcBorders>
              <w:left w:val="single" w:sz="2" w:space="0" w:color="000000"/>
              <w:bottom w:val="single" w:sz="2" w:space="0" w:color="000000"/>
            </w:tcBorders>
          </w:tcPr>
          <w:p>
            <w:pPr>
              <w:pStyle w:val="Contedodatabela"/>
              <w:jc w:val="center"/>
              <w:rPr>
                <w:sz w:val="22"/>
                <w:szCs w:val="22"/>
              </w:rPr>
            </w:pPr>
            <w:r>
              <w:rPr>
                <w:sz w:val="22"/>
                <w:szCs w:val="22"/>
              </w:rPr>
              <w:t>1</w:t>
            </w:r>
          </w:p>
        </w:tc>
        <w:tc>
          <w:tcPr>
            <w:tcW w:w="2447" w:type="dxa"/>
            <w:tcBorders>
              <w:left w:val="single" w:sz="2" w:space="0" w:color="000000"/>
              <w:bottom w:val="single" w:sz="2" w:space="0" w:color="000000"/>
            </w:tcBorders>
          </w:tcPr>
          <w:p>
            <w:pPr>
              <w:pStyle w:val="Contedodatabela"/>
              <w:jc w:val="both"/>
              <w:rPr>
                <w:sz w:val="22"/>
                <w:szCs w:val="22"/>
              </w:rPr>
            </w:pPr>
            <w:r>
              <w:rPr>
                <w:sz w:val="22"/>
                <w:szCs w:val="22"/>
              </w:rPr>
              <w:t xml:space="preserve">Locação de brinquedos infláveis </w:t>
            </w:r>
            <w:r>
              <w:rPr>
                <w:sz w:val="22"/>
                <w:szCs w:val="22"/>
              </w:rPr>
              <w:t>(tombo legal, cama elástica , piscina de bolinha, escorrega, futebol, mini circuito)</w:t>
            </w:r>
          </w:p>
        </w:tc>
        <w:tc>
          <w:tcPr>
            <w:tcW w:w="1148" w:type="dxa"/>
            <w:tcBorders>
              <w:left w:val="single" w:sz="2" w:space="0" w:color="000000"/>
              <w:bottom w:val="single" w:sz="2" w:space="0" w:color="000000"/>
            </w:tcBorders>
          </w:tcPr>
          <w:p>
            <w:pPr>
              <w:pStyle w:val="Contedodatabela"/>
              <w:jc w:val="center"/>
              <w:rPr>
                <w:sz w:val="22"/>
                <w:szCs w:val="22"/>
              </w:rPr>
            </w:pPr>
            <w:r>
              <w:rPr>
                <w:sz w:val="22"/>
                <w:szCs w:val="22"/>
              </w:rPr>
              <w:t>1,0</w:t>
            </w:r>
          </w:p>
        </w:tc>
        <w:tc>
          <w:tcPr>
            <w:tcW w:w="1720" w:type="dxa"/>
            <w:tcBorders>
              <w:left w:val="single" w:sz="2" w:space="0" w:color="000000"/>
              <w:bottom w:val="single" w:sz="2" w:space="0" w:color="000000"/>
            </w:tcBorders>
          </w:tcPr>
          <w:p>
            <w:pPr>
              <w:pStyle w:val="Contedodatabela"/>
              <w:jc w:val="center"/>
              <w:rPr>
                <w:sz w:val="22"/>
                <w:szCs w:val="22"/>
              </w:rPr>
            </w:pPr>
            <w:r>
              <w:rPr>
                <w:sz w:val="22"/>
                <w:szCs w:val="22"/>
              </w:rPr>
              <w:t>Und</w:t>
            </w:r>
          </w:p>
        </w:tc>
        <w:tc>
          <w:tcPr>
            <w:tcW w:w="1781" w:type="dxa"/>
            <w:tcBorders>
              <w:left w:val="single" w:sz="2" w:space="0" w:color="000000"/>
              <w:bottom w:val="single" w:sz="2" w:space="0" w:color="000000"/>
            </w:tcBorders>
          </w:tcPr>
          <w:p>
            <w:pPr>
              <w:pStyle w:val="Contedodatabela"/>
              <w:jc w:val="right"/>
              <w:rPr>
                <w:sz w:val="22"/>
                <w:szCs w:val="22"/>
              </w:rPr>
            </w:pPr>
            <w:r>
              <w:rPr>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sz w:val="22"/>
                <w:szCs w:val="22"/>
              </w:rPr>
            </w:pPr>
            <w:r>
              <w:rPr>
                <w:sz w:val="22"/>
                <w:szCs w:val="22"/>
              </w:rPr>
            </w:r>
          </w:p>
        </w:tc>
      </w:tr>
    </w:tbl>
    <w:p>
      <w:pPr>
        <w:pStyle w:val="Normal"/>
        <w:rPr>
          <w:sz w:val="22"/>
          <w:szCs w:val="22"/>
        </w:rPr>
      </w:pPr>
      <w:r>
        <w:rPr>
          <w:sz w:val="22"/>
          <w:szCs w:val="22"/>
        </w:rPr>
      </w:r>
    </w:p>
    <w:sectPr>
      <w:headerReference w:type="default" r:id="rId2"/>
      <w:type w:val="nextPage"/>
      <w:pgSz w:w="12240" w:h="15840"/>
      <w:pgMar w:left="1800" w:right="1800" w:header="1440" w:top="2506"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0" distT="0" distB="0" distL="0" distR="0" simplePos="0" locked="0" layoutInCell="1" allowOverlap="1" relativeHeight="3">
          <wp:simplePos x="0" y="0"/>
          <wp:positionH relativeFrom="column">
            <wp:posOffset>95250</wp:posOffset>
          </wp:positionH>
          <wp:positionV relativeFrom="paragraph">
            <wp:posOffset>-300990</wp:posOffset>
          </wp:positionV>
          <wp:extent cx="762000" cy="7620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62000" cy="762000"/>
                  </a:xfrm>
                  <a:prstGeom prst="rect">
                    <a:avLst/>
                  </a:prstGeom>
                </pic:spPr>
              </pic:pic>
            </a:graphicData>
          </a:graphic>
        </wp:anchor>
      </w:drawing>
    </w:r>
  </w:p>
  <w:p>
    <w:pPr>
      <w:pStyle w:val="Cabealho"/>
      <w:jc w:val="center"/>
      <w:rPr>
        <w:b/>
        <w:b/>
        <w:bCs/>
        <w:sz w:val="24"/>
        <w:szCs w:val="24"/>
      </w:rPr>
    </w:pPr>
    <w:r>
      <w:rPr>
        <w:b/>
        <w:bCs/>
        <w:sz w:val="24"/>
        <w:szCs w:val="24"/>
      </w:rPr>
      <w:t>ESTADO DO RIO GRANDE DO SUL</w:t>
    </w:r>
  </w:p>
  <w:p>
    <w:pPr>
      <w:pStyle w:val="Cabealho"/>
      <w:jc w:val="center"/>
      <w:rPr>
        <w:b/>
        <w:b/>
        <w:bCs/>
        <w:sz w:val="24"/>
        <w:szCs w:val="24"/>
      </w:rPr>
    </w:pPr>
    <w:r>
      <w:rPr>
        <w:b/>
        <w:bCs/>
        <w:sz w:val="24"/>
        <w:szCs w:val="24"/>
      </w:rPr>
      <w:t>PREFEITURA MUNICIPAL DE VIADUTOS</w:t>
    </w:r>
  </w:p>
</w:hdr>
</file>

<file path=word/settings.xml><?xml version="1.0" encoding="utf-8"?>
<w:settings xmlns:w="http://schemas.openxmlformats.org/wordprocessingml/2006/main">
  <w:zoom w:percent="100"/>
  <w:defaultTabStop w:val="708"/>
  <w:compat>
    <w:doNotExpandShiftReturn/>
  </w:compat>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pt-BR" w:eastAsia="zh-CN" w:bidi="hi-IN"/>
      </w:rPr>
    </w:rPrDefault>
    <w:pPrDefault>
      <w:pPr>
        <w:suppressAutoHyphens w:val="true"/>
      </w:pPr>
    </w:pPrDefault>
  </w:docDefaults>
  <w:style w:type="paragraph" w:styleId="Normal">
    <w:name w:val="Normal"/>
    <w:qFormat/>
    <w:pPr>
      <w:widowControl/>
      <w:kinsoku w:val="true"/>
      <w:overflowPunct w:val="false"/>
      <w:autoSpaceDE w:val="false"/>
      <w:bidi w:val="0"/>
      <w:textAlignment w:val="baseline"/>
    </w:pPr>
    <w:rPr>
      <w:rFonts w:ascii="Times New Roman" w:hAnsi="Times New Roman" w:eastAsia="Times New Roman" w:cs="Times New Roman"/>
      <w:color w:val="auto"/>
      <w:sz w:val="20"/>
      <w:szCs w:val="20"/>
      <w:lang w:val="pt-BR" w:bidi="ar-SA" w:eastAsia="zh-CN"/>
    </w:rPr>
  </w:style>
  <w:style w:type="character" w:styleId="DefaultParagraphFont">
    <w:name w:val="Default Paragraph Font"/>
    <w:qForma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CabealhoeRodap">
    <w:name w:val="Cabeçalho e Rodapé"/>
    <w:basedOn w:val="Normal"/>
    <w:qFormat/>
    <w:pPr>
      <w:suppressLineNumbers/>
      <w:tabs>
        <w:tab w:val="clear" w:pos="708"/>
        <w:tab w:val="center" w:pos="4320" w:leader="none"/>
        <w:tab w:val="right" w:pos="8640" w:leader="none"/>
      </w:tabs>
    </w:pPr>
    <w:rPr/>
  </w:style>
  <w:style w:type="paragraph" w:styleId="Cabealho">
    <w:name w:val="Header"/>
    <w:basedOn w:val="CabealhoeRodap"/>
    <w:pPr>
      <w:suppressLineNumbers/>
    </w:pPr>
    <w:rPr/>
  </w:style>
  <w:style w:type="paragraph" w:styleId="Standard">
    <w:name w:val="Standard"/>
    <w:qFormat/>
    <w:pPr>
      <w:widowControl w:val="false"/>
      <w:suppressAutoHyphens w:val="true"/>
      <w:kinsoku w:val="true"/>
      <w:overflowPunct w:val="true"/>
      <w:autoSpaceDE w:val="true"/>
      <w:bidi w:val="0"/>
      <w:textAlignment w:val="baseline"/>
    </w:pPr>
    <w:rPr>
      <w:rFonts w:ascii="Liberation Serif" w:hAnsi="Liberation Serif" w:eastAsia="SimSun;宋体" w:cs="Mangal"/>
      <w:color w:val="auto"/>
      <w:kern w:val="2"/>
      <w:sz w:val="24"/>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68</TotalTime>
  <Application>LibreOffice/6.4.4.2$Windows_X86_64 LibreOffice_project/3d775be2011f3886db32dfd395a6a6d1ca2630ff</Application>
  <Pages>2</Pages>
  <Words>224</Words>
  <Characters>1249</Characters>
  <CharactersWithSpaces>1461</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2023-06-05T10:08:00Z</dcterms:created>
  <dc:creator>a</dc:creator>
  <dc:description/>
  <cp:keywords/>
  <dc:language>pt-BR</dc:language>
  <cp:lastModifiedBy/>
  <cp:lastPrinted>2025-09-25T16:06:03Z</cp:lastPrinted>
  <dcterms:modified xsi:type="dcterms:W3CDTF">2025-09-25T16:07:13Z</dcterms:modified>
  <cp:revision>33</cp:revision>
  <dc:subject/>
  <dc:title>Sigla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