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Nº45/2026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contratação de Dispensa de Licitação para contratação de empresa para sonorização e </w:t>
      </w:r>
      <w:r>
        <w:rPr>
          <w:rFonts w:ascii="Arial" w:hAnsi="Arial"/>
          <w:sz w:val="24"/>
          <w:szCs w:val="24"/>
        </w:rPr>
        <w:t>iluminação</w:t>
      </w:r>
      <w:r>
        <w:rPr>
          <w:rFonts w:ascii="Arial" w:hAnsi="Arial"/>
          <w:sz w:val="24"/>
          <w:szCs w:val="24"/>
        </w:rPr>
        <w:t xml:space="preserve"> dentro do Salão Paroquial do </w:t>
      </w:r>
      <w:r>
        <w:rPr>
          <w:rFonts w:ascii="Arial" w:hAnsi="Arial"/>
          <w:sz w:val="24"/>
          <w:szCs w:val="24"/>
        </w:rPr>
        <w:t>Município conforme (</w:t>
      </w:r>
      <w:r>
        <w:rPr>
          <w:rFonts w:ascii="Arial" w:hAnsi="Arial"/>
          <w:b/>
          <w:bCs/>
          <w:sz w:val="24"/>
          <w:szCs w:val="24"/>
        </w:rPr>
        <w:t>Anexo I</w:t>
      </w:r>
      <w:r>
        <w:rPr>
          <w:rFonts w:ascii="Arial" w:hAnsi="Arial"/>
          <w:b/>
          <w:bCs/>
          <w:sz w:val="24"/>
          <w:szCs w:val="24"/>
        </w:rPr>
        <w:t>)</w:t>
      </w:r>
      <w:r>
        <w:rPr>
          <w:rFonts w:ascii="Arial" w:hAnsi="Arial"/>
          <w:sz w:val="24"/>
          <w:szCs w:val="24"/>
        </w:rPr>
        <w:t xml:space="preserve"> </w:t>
      </w:r>
      <w:r>
        <w:rPr>
          <w:rFonts w:ascii="Arial" w:hAnsi="Arial"/>
          <w:sz w:val="24"/>
          <w:szCs w:val="24"/>
        </w:rPr>
        <w:t xml:space="preserve">para o </w:t>
      </w:r>
      <w:r>
        <w:rPr>
          <w:rFonts w:ascii="Arial" w:hAnsi="Arial"/>
          <w:sz w:val="24"/>
          <w:szCs w:val="24"/>
        </w:rPr>
        <w:t xml:space="preserve">dia 07 de fevereiro de 2026, para a 30º edição do jantar da FESTA NACIONAL DO BOI RECHEADO,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aviso. As propostas poderão ser entregues pessoalmente na sede do Município ou via email compras</w:t>
      </w:r>
      <w:r>
        <w:rPr>
          <w:rFonts w:ascii="Arial" w:hAnsi="Arial"/>
          <w:sz w:val="24"/>
          <w:szCs w:val="24"/>
        </w:rPr>
        <w:t>2</w:t>
      </w:r>
      <w:r>
        <w:rPr>
          <w:rFonts w:ascii="Arial" w:hAnsi="Arial"/>
          <w:sz w:val="24"/>
          <w:szCs w:val="24"/>
        </w:rPr>
        <w:t>@viadutos.rs.gov.br,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Viadutos</w:t>
      </w:r>
      <w:r>
        <w:rPr>
          <w:rFonts w:ascii="Arial" w:hAnsi="Arial"/>
          <w:sz w:val="24"/>
          <w:szCs w:val="24"/>
        </w:rPr>
        <w:t xml:space="preserve"> – </w:t>
      </w:r>
      <w:r>
        <w:rPr>
          <w:rFonts w:ascii="Arial" w:hAnsi="Arial"/>
          <w:sz w:val="24"/>
          <w:szCs w:val="24"/>
        </w:rPr>
        <w:t xml:space="preserve">RS, </w:t>
      </w:r>
      <w:r>
        <w:rPr>
          <w:rFonts w:ascii="Arial" w:hAnsi="Arial"/>
          <w:sz w:val="24"/>
          <w:szCs w:val="24"/>
        </w:rPr>
        <w:t>28 de janeiro de 2026.</w:t>
      </w:r>
      <w:r>
        <w:rPr>
          <w:rFonts w:ascii="Arial" w:hAnsi="Arial"/>
          <w:sz w:val="24"/>
          <w:szCs w:val="24"/>
        </w:rPr>
        <w:t xml:space="preserve">  </w:t>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 xml:space="preserve">Local de entrega: </w:t>
      </w:r>
      <w:r>
        <w:rPr>
          <w:rFonts w:ascii="Arial" w:hAnsi="Arial"/>
          <w:sz w:val="22"/>
          <w:szCs w:val="22"/>
        </w:rPr>
        <w:t>Salão Paroquial</w:t>
      </w:r>
    </w:p>
    <w:p>
      <w:pPr>
        <w:pStyle w:val="Normal"/>
        <w:numPr>
          <w:ilvl w:val="0"/>
          <w:numId w:val="1"/>
        </w:numPr>
        <w:spacing w:lineRule="auto" w:line="276"/>
        <w:jc w:val="both"/>
        <w:rPr>
          <w:rFonts w:ascii="Arial" w:hAnsi="Arial"/>
          <w:sz w:val="22"/>
          <w:szCs w:val="22"/>
        </w:rPr>
      </w:pPr>
      <w:r>
        <w:rPr>
          <w:rFonts w:ascii="Arial" w:hAnsi="Arial"/>
          <w:sz w:val="22"/>
          <w:szCs w:val="22"/>
        </w:rPr>
        <w:t xml:space="preserve">Prazo de entrega:  </w:t>
      </w:r>
      <w:r>
        <w:rPr>
          <w:rFonts w:ascii="Arial" w:hAnsi="Arial"/>
          <w:sz w:val="22"/>
          <w:szCs w:val="22"/>
        </w:rPr>
        <w:t>07 de fevereiro de 2026.</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CND Federal, Municipal e </w:t>
      </w:r>
      <w:r>
        <w:rPr>
          <w:rFonts w:ascii="Arial" w:hAnsi="Arial"/>
          <w:sz w:val="22"/>
          <w:szCs w:val="22"/>
        </w:rPr>
        <w:t>Estadual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0"/>
        </w:numPr>
        <w:spacing w:lineRule="auto" w:line="276"/>
        <w:ind w:left="720" w:hanging="0"/>
        <w:jc w:val="both"/>
        <w:rPr>
          <w:rFonts w:ascii="Arial" w:hAnsi="Arial"/>
          <w:sz w:val="22"/>
          <w:szCs w:val="22"/>
        </w:rPr>
      </w:pPr>
      <w:r>
        <w:rPr>
          <w:rFonts w:ascii="Arial" w:hAnsi="Arial"/>
          <w:sz w:val="22"/>
          <w:szCs w:val="22"/>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RAZÃO SOCIAL:</w:t>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NOME FANTASIA:</w:t>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CNPJ:</w:t>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ENDEREÇO:</w:t>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E-MAIL:</w:t>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TELEFONE:</w:t>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REPRESENTANTE LEGAL:</w:t>
      </w:r>
    </w:p>
    <w:p>
      <w:pPr>
        <w:pStyle w:val="Normal"/>
        <w:spacing w:lineRule="auto" w:line="276"/>
        <w:jc w:val="both"/>
        <w:rPr>
          <w:rFonts w:ascii="Arial" w:hAnsi="Arial"/>
          <w:b w:val="false"/>
          <w:b w:val="false"/>
          <w:bCs w:val="false"/>
          <w:sz w:val="20"/>
          <w:szCs w:val="20"/>
        </w:rPr>
      </w:pPr>
      <w:r>
        <w:rPr>
          <w:rFonts w:ascii="Arial" w:hAnsi="Arial"/>
          <w:b w:val="false"/>
          <w:bCs w:val="false"/>
          <w:sz w:val="20"/>
          <w:szCs w:val="20"/>
        </w:rPr>
        <w:t>CPF:</w:t>
      </w:r>
    </w:p>
    <w:p>
      <w:pPr>
        <w:pStyle w:val="Normal"/>
        <w:spacing w:lineRule="auto" w:line="276"/>
        <w:jc w:val="both"/>
        <w:rPr>
          <w:rFonts w:ascii="Arial" w:hAnsi="Arial"/>
          <w:sz w:val="20"/>
          <w:szCs w:val="20"/>
        </w:rPr>
      </w:pPr>
      <w:r>
        <w:rPr>
          <w:rFonts w:ascii="Arial" w:hAnsi="Arial"/>
          <w:b w:val="false"/>
          <w:bCs w:val="false"/>
          <w:sz w:val="20"/>
          <w:szCs w:val="20"/>
        </w:rPr>
        <w:t>RG:</w:t>
      </w:r>
    </w:p>
    <w:p>
      <w:pPr>
        <w:pStyle w:val="Normal"/>
        <w:spacing w:lineRule="auto" w:line="276"/>
        <w:jc w:val="center"/>
        <w:rPr>
          <w:rFonts w:ascii="Arial" w:hAnsi="Arial"/>
          <w:b/>
          <w:b/>
          <w:bCs/>
          <w:sz w:val="20"/>
          <w:szCs w:val="20"/>
        </w:rPr>
      </w:pPr>
      <w:r>
        <w:rPr>
          <w:rFonts w:ascii="Arial" w:hAnsi="Arial"/>
          <w:b/>
          <w:bCs/>
          <w:sz w:val="20"/>
          <w:szCs w:val="20"/>
        </w:rPr>
        <w:t>Anexo I</w:t>
      </w:r>
    </w:p>
    <w:p>
      <w:pPr>
        <w:pStyle w:val="Normal"/>
        <w:spacing w:lineRule="auto" w:line="276"/>
        <w:jc w:val="center"/>
        <w:rPr>
          <w:rFonts w:ascii="Arial" w:hAnsi="Arial"/>
          <w:b/>
          <w:b/>
          <w:bCs/>
          <w:sz w:val="20"/>
          <w:szCs w:val="20"/>
        </w:rPr>
      </w:pPr>
      <w:r>
        <w:rPr>
          <w:rFonts w:ascii="Arial" w:hAnsi="Arial"/>
          <w:b/>
          <w:bCs/>
          <w:sz w:val="20"/>
          <w:szCs w:val="20"/>
        </w:rPr>
        <w:t>Modelo de Orçamento</w:t>
      </w:r>
    </w:p>
    <w:p>
      <w:pPr>
        <w:pStyle w:val="Normal"/>
        <w:spacing w:lineRule="auto" w:line="276"/>
        <w:jc w:val="center"/>
        <w:rPr>
          <w:rFonts w:ascii="Arial" w:hAnsi="Arial"/>
          <w:sz w:val="20"/>
          <w:szCs w:val="20"/>
        </w:rPr>
      </w:pPr>
      <w:r>
        <w:rPr>
          <w:rFonts w:ascii="Arial" w:hAnsi="Arial"/>
          <w:sz w:val="20"/>
          <w:szCs w:val="20"/>
        </w:rPr>
      </w:r>
    </w:p>
    <w:tbl>
      <w:tblPr>
        <w:tblW w:w="10110" w:type="dxa"/>
        <w:jc w:val="left"/>
        <w:tblInd w:w="-418" w:type="dxa"/>
        <w:tblCellMar>
          <w:top w:w="55" w:type="dxa"/>
          <w:left w:w="55" w:type="dxa"/>
          <w:bottom w:w="55" w:type="dxa"/>
          <w:right w:w="55" w:type="dxa"/>
        </w:tblCellMar>
      </w:tblPr>
      <w:tblGrid>
        <w:gridCol w:w="1843"/>
        <w:gridCol w:w="2447"/>
        <w:gridCol w:w="1148"/>
        <w:gridCol w:w="1147"/>
        <w:gridCol w:w="1147"/>
        <w:gridCol w:w="1207"/>
        <w:gridCol w:w="1171"/>
      </w:tblGrid>
      <w:tr>
        <w:trPr/>
        <w:tc>
          <w:tcPr>
            <w:tcW w:w="1843" w:type="dxa"/>
            <w:tcBorders>
              <w:top w:val="single" w:sz="2" w:space="0" w:color="000000"/>
              <w:left w:val="single" w:sz="2" w:space="0" w:color="000000"/>
              <w:bottom w:val="single" w:sz="2" w:space="0" w:color="000000"/>
            </w:tcBorders>
          </w:tcPr>
          <w:p>
            <w:pPr>
              <w:pStyle w:val="Contedodatabela"/>
              <w:jc w:val="center"/>
              <w:rPr>
                <w:rFonts w:ascii="Arial" w:hAnsi="Arial"/>
                <w:b/>
                <w:b/>
                <w:bCs/>
                <w:sz w:val="20"/>
                <w:szCs w:val="20"/>
              </w:rPr>
            </w:pPr>
            <w:r>
              <w:rPr>
                <w:rFonts w:ascii="Arial" w:hAnsi="Arial"/>
                <w:b/>
                <w:bCs/>
                <w:sz w:val="20"/>
                <w:szCs w:val="20"/>
              </w:rPr>
              <w:t>Item</w:t>
            </w:r>
          </w:p>
        </w:tc>
        <w:tc>
          <w:tcPr>
            <w:tcW w:w="2447" w:type="dxa"/>
            <w:tcBorders>
              <w:top w:val="single" w:sz="2" w:space="0" w:color="000000"/>
              <w:left w:val="single" w:sz="2" w:space="0" w:color="000000"/>
              <w:bottom w:val="single" w:sz="2" w:space="0" w:color="000000"/>
            </w:tcBorders>
          </w:tcPr>
          <w:p>
            <w:pPr>
              <w:pStyle w:val="Contedodatabela"/>
              <w:jc w:val="center"/>
              <w:rPr>
                <w:rFonts w:ascii="Arial" w:hAnsi="Arial"/>
                <w:b/>
                <w:b/>
                <w:bCs/>
                <w:sz w:val="20"/>
                <w:szCs w:val="20"/>
              </w:rPr>
            </w:pPr>
            <w:r>
              <w:rPr>
                <w:rFonts w:ascii="Arial" w:hAnsi="Arial"/>
                <w:b/>
                <w:bCs/>
                <w:sz w:val="20"/>
                <w:szCs w:val="20"/>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0"/>
                <w:szCs w:val="20"/>
              </w:rPr>
            </w:pPr>
            <w:r>
              <w:rPr>
                <w:rFonts w:ascii="Arial" w:hAnsi="Arial"/>
                <w:b/>
                <w:bCs/>
                <w:sz w:val="20"/>
                <w:szCs w:val="20"/>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0"/>
                <w:szCs w:val="20"/>
              </w:rPr>
            </w:pPr>
            <w:r>
              <w:rPr>
                <w:rFonts w:ascii="Arial" w:hAnsi="Arial"/>
                <w:b/>
                <w:bCs/>
                <w:sz w:val="20"/>
                <w:szCs w:val="20"/>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0"/>
                <w:szCs w:val="20"/>
              </w:rPr>
            </w:pPr>
            <w:r>
              <w:rPr>
                <w:rFonts w:ascii="Arial" w:hAnsi="Arial"/>
                <w:b/>
                <w:bCs/>
                <w:sz w:val="20"/>
                <w:szCs w:val="20"/>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0"/>
                <w:szCs w:val="20"/>
              </w:rPr>
            </w:pPr>
            <w:r>
              <w:rPr>
                <w:rFonts w:ascii="Arial" w:hAnsi="Arial"/>
                <w:b/>
                <w:bCs/>
                <w:sz w:val="20"/>
                <w:szCs w:val="20"/>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0"/>
                <w:szCs w:val="20"/>
              </w:rPr>
            </w:pPr>
            <w:r>
              <w:rPr>
                <w:rFonts w:ascii="Arial" w:hAnsi="Arial"/>
                <w:b/>
                <w:bCs/>
                <w:sz w:val="20"/>
                <w:szCs w:val="20"/>
              </w:rPr>
              <w:t>Total</w:t>
            </w:r>
          </w:p>
        </w:tc>
      </w:tr>
      <w:tr>
        <w:trPr/>
        <w:tc>
          <w:tcPr>
            <w:tcW w:w="1843" w:type="dxa"/>
            <w:tcBorders>
              <w:left w:val="single" w:sz="2" w:space="0" w:color="000000"/>
              <w:bottom w:val="single" w:sz="2" w:space="0" w:color="000000"/>
            </w:tcBorders>
          </w:tcPr>
          <w:p>
            <w:pPr>
              <w:pStyle w:val="Contedodatabela"/>
              <w:jc w:val="center"/>
              <w:rPr>
                <w:rFonts w:ascii="Arial" w:hAnsi="Arial"/>
                <w:sz w:val="20"/>
                <w:szCs w:val="20"/>
              </w:rPr>
            </w:pPr>
            <w:r>
              <w:rPr>
                <w:rFonts w:ascii="Arial" w:hAnsi="Arial"/>
                <w:sz w:val="20"/>
                <w:szCs w:val="20"/>
              </w:rPr>
              <w:t>1</w:t>
            </w:r>
          </w:p>
        </w:tc>
        <w:tc>
          <w:tcPr>
            <w:tcW w:w="2447" w:type="dxa"/>
            <w:tcBorders>
              <w:left w:val="single" w:sz="2" w:space="0" w:color="000000"/>
              <w:bottom w:val="single" w:sz="2" w:space="0" w:color="000000"/>
            </w:tcBorders>
          </w:tcPr>
          <w:p>
            <w:pPr>
              <w:pStyle w:val="Contedodatabela"/>
              <w:jc w:val="both"/>
              <w:rPr>
                <w:rFonts w:ascii="Arial" w:hAnsi="Arial"/>
                <w:sz w:val="20"/>
                <w:szCs w:val="20"/>
              </w:rPr>
            </w:pPr>
            <w:r>
              <w:rPr>
                <w:rFonts w:ascii="Arial" w:hAnsi="Arial"/>
                <w:sz w:val="20"/>
                <w:szCs w:val="20"/>
              </w:rPr>
              <w:t xml:space="preserve">Prestação de serviço sonorização e iluminação, contendo as seguintes descrições </w:t>
            </w:r>
            <w:r>
              <w:rPr>
                <w:rFonts w:ascii="Arial" w:hAnsi="Arial"/>
                <w:sz w:val="20"/>
                <w:szCs w:val="20"/>
              </w:rPr>
              <w:t>técnicas</w:t>
            </w:r>
            <w:r>
              <w:rPr>
                <w:rFonts w:ascii="Arial" w:hAnsi="Arial"/>
                <w:sz w:val="20"/>
                <w:szCs w:val="20"/>
              </w:rPr>
              <w:t xml:space="preserve">:  8-  Line array 112 t 650 Wrms cada   4- subgrave sb 850, 1600 wrms  cada rack de amplificador  1   Amplificador 8.0 xti 8000W  1   Amplificador 5.0 xti 5000W  1   Amplificador 2500 2500W  1   Mesa de som ui 16  3   Microfones sem fio   1   Grid de estrutura  10   Par de led 54x3 w Trile Slim  4 Par le cob  </w:t>
            </w:r>
          </w:p>
        </w:tc>
        <w:tc>
          <w:tcPr>
            <w:tcW w:w="1148" w:type="dxa"/>
            <w:tcBorders>
              <w:left w:val="single" w:sz="2" w:space="0" w:color="000000"/>
              <w:bottom w:val="single" w:sz="2" w:space="0" w:color="000000"/>
            </w:tcBorders>
          </w:tcPr>
          <w:p>
            <w:pPr>
              <w:pStyle w:val="Contedodatabela"/>
              <w:jc w:val="center"/>
              <w:rPr>
                <w:rFonts w:ascii="Arial" w:hAnsi="Arial"/>
                <w:sz w:val="20"/>
                <w:szCs w:val="20"/>
              </w:rPr>
            </w:pPr>
            <w:r>
              <w:rPr>
                <w:rFonts w:ascii="Arial" w:hAnsi="Arial"/>
                <w:sz w:val="20"/>
                <w:szCs w:val="20"/>
              </w:rPr>
              <w:t>1,0</w:t>
            </w:r>
          </w:p>
        </w:tc>
        <w:tc>
          <w:tcPr>
            <w:tcW w:w="1147" w:type="dxa"/>
            <w:tcBorders>
              <w:left w:val="single" w:sz="2" w:space="0" w:color="000000"/>
              <w:bottom w:val="single" w:sz="2" w:space="0" w:color="000000"/>
            </w:tcBorders>
          </w:tcPr>
          <w:p>
            <w:pPr>
              <w:pStyle w:val="Contedodatabela"/>
              <w:jc w:val="center"/>
              <w:rPr>
                <w:rFonts w:ascii="Arial" w:hAnsi="Arial"/>
                <w:sz w:val="20"/>
                <w:szCs w:val="20"/>
              </w:rPr>
            </w:pPr>
            <w:r>
              <w:rPr>
                <w:rFonts w:ascii="Arial" w:hAnsi="Arial"/>
                <w:sz w:val="20"/>
                <w:szCs w:val="20"/>
              </w:rPr>
              <w:t>Und</w:t>
            </w:r>
          </w:p>
        </w:tc>
        <w:tc>
          <w:tcPr>
            <w:tcW w:w="1147" w:type="dxa"/>
            <w:tcBorders>
              <w:left w:val="single" w:sz="2" w:space="0" w:color="000000"/>
              <w:bottom w:val="single" w:sz="2" w:space="0" w:color="000000"/>
            </w:tcBorders>
          </w:tcPr>
          <w:p>
            <w:pPr>
              <w:pStyle w:val="Contedodatabela"/>
              <w:jc w:val="center"/>
              <w:rPr>
                <w:rFonts w:ascii="Arial" w:hAnsi="Arial"/>
                <w:sz w:val="20"/>
                <w:szCs w:val="20"/>
              </w:rPr>
            </w:pPr>
            <w:r>
              <w:rPr>
                <w:rFonts w:ascii="Arial" w:hAnsi="Arial"/>
                <w:sz w:val="20"/>
                <w:szCs w:val="20"/>
              </w:rPr>
            </w:r>
          </w:p>
        </w:tc>
        <w:tc>
          <w:tcPr>
            <w:tcW w:w="1207" w:type="dxa"/>
            <w:tcBorders>
              <w:left w:val="single" w:sz="2" w:space="0" w:color="000000"/>
              <w:bottom w:val="single" w:sz="2" w:space="0" w:color="000000"/>
            </w:tcBorders>
          </w:tcPr>
          <w:p>
            <w:pPr>
              <w:pStyle w:val="Contedodatabela"/>
              <w:jc w:val="right"/>
              <w:rPr>
                <w:rFonts w:ascii="Arial" w:hAnsi="Arial"/>
                <w:sz w:val="20"/>
                <w:szCs w:val="20"/>
              </w:rPr>
            </w:pPr>
            <w:r>
              <w:rPr>
                <w:rFonts w:ascii="Arial" w:hAnsi="Arial"/>
                <w:sz w:val="20"/>
                <w:szCs w:val="20"/>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0"/>
                <w:szCs w:val="20"/>
              </w:rPr>
            </w:pPr>
            <w:r>
              <w:rPr>
                <w:rFonts w:ascii="Arial" w:hAnsi="Arial"/>
                <w:sz w:val="20"/>
                <w:szCs w:val="20"/>
              </w:rPr>
            </w:r>
          </w:p>
        </w:tc>
      </w:tr>
    </w:tbl>
    <w:p>
      <w:pPr>
        <w:pStyle w:val="Normal"/>
        <w:rPr>
          <w:rFonts w:ascii="Arial" w:hAnsi="Arial"/>
          <w:sz w:val="20"/>
          <w:szCs w:val="20"/>
        </w:rPr>
      </w:pPr>
      <w:r>
        <w:rPr>
          <w:rFonts w:ascii="Arial" w:hAnsi="Arial"/>
          <w:sz w:val="20"/>
          <w:szCs w:val="20"/>
        </w:rPr>
      </w:r>
    </w:p>
    <w:p>
      <w:pPr>
        <w:pStyle w:val="Normal"/>
        <w:rPr>
          <w:sz w:val="20"/>
          <w:szCs w:val="20"/>
        </w:rPr>
      </w:pPr>
      <w:r>
        <w:rPr>
          <w:sz w:val="20"/>
          <w:szCs w:val="20"/>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71</TotalTime>
  <Application>LibreOffice/6.4.4.2$Windows_X86_64 LibreOffice_project/3d775be2011f3886db32dfd395a6a6d1ca2630ff</Application>
  <Pages>2</Pages>
  <Words>381</Words>
  <Characters>1933</Characters>
  <CharactersWithSpaces>2305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2026-01-28T15:53:48Z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