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C5" w:rsidRPr="0086046A" w:rsidRDefault="00D04CD9" w:rsidP="0086046A">
      <w:pPr>
        <w:pStyle w:val="Standard"/>
        <w:jc w:val="center"/>
        <w:rPr>
          <w:rFonts w:ascii="Times New Roman" w:hAnsi="Times New Roman" w:cs="Times New Roman"/>
          <w:b/>
          <w:bCs/>
          <w:sz w:val="22"/>
          <w:szCs w:val="22"/>
        </w:rPr>
      </w:pPr>
      <w:r w:rsidRPr="0086046A">
        <w:rPr>
          <w:rFonts w:ascii="Times New Roman" w:hAnsi="Times New Roman" w:cs="Times New Roman"/>
          <w:b/>
          <w:bCs/>
          <w:sz w:val="22"/>
          <w:szCs w:val="22"/>
        </w:rPr>
        <w:t>Edital de Pregão Nº 7/2026</w:t>
      </w:r>
    </w:p>
    <w:p w:rsidR="00FE06C5" w:rsidRPr="0086046A" w:rsidRDefault="00D04CD9" w:rsidP="0086046A">
      <w:pPr>
        <w:pStyle w:val="Standard"/>
        <w:jc w:val="center"/>
        <w:rPr>
          <w:rFonts w:ascii="Times New Roman" w:hAnsi="Times New Roman" w:cs="Times New Roman"/>
          <w:b/>
          <w:bCs/>
          <w:sz w:val="22"/>
          <w:szCs w:val="22"/>
        </w:rPr>
      </w:pPr>
      <w:r w:rsidRPr="0086046A">
        <w:rPr>
          <w:rFonts w:ascii="Times New Roman" w:hAnsi="Times New Roman" w:cs="Times New Roman"/>
          <w:b/>
          <w:bCs/>
          <w:sz w:val="22"/>
          <w:szCs w:val="22"/>
        </w:rPr>
        <w:t>Processo nº 108/2026</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Tipo de julgamento:  </w:t>
      </w:r>
      <w:r w:rsidRPr="0086046A">
        <w:rPr>
          <w:rFonts w:ascii="Times New Roman" w:hAnsi="Times New Roman" w:cs="Times New Roman"/>
          <w:b/>
          <w:bCs/>
          <w:sz w:val="22"/>
          <w:szCs w:val="22"/>
        </w:rPr>
        <w:t xml:space="preserve"> Menor Preço - Menor Preço por Lote</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ind w:left="3969"/>
        <w:jc w:val="both"/>
        <w:rPr>
          <w:rFonts w:ascii="Times New Roman" w:hAnsi="Times New Roman" w:cs="Times New Roman"/>
          <w:sz w:val="22"/>
          <w:szCs w:val="22"/>
        </w:rPr>
      </w:pPr>
      <w:r w:rsidRPr="0086046A">
        <w:rPr>
          <w:rFonts w:ascii="Times New Roman" w:hAnsi="Times New Roman" w:cs="Times New Roman"/>
          <w:sz w:val="22"/>
          <w:szCs w:val="22"/>
        </w:rPr>
        <w:t>Edital de pregão presencial para a Contratação de empresa especializada para execução de serviços de adequação construtiva, regularização e legalização de poços artesianos, com o objetivo de atendimento ao Programa Poço Legal</w:t>
      </w:r>
      <w:r w:rsidRPr="0086046A">
        <w:rPr>
          <w:rFonts w:ascii="Times New Roman" w:hAnsi="Times New Roman" w:cs="Times New Roman"/>
          <w:b/>
          <w:bCs/>
          <w:sz w:val="22"/>
          <w:szCs w:val="22"/>
        </w:rPr>
        <w:t>.</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b/>
          <w:bCs/>
          <w:sz w:val="22"/>
          <w:szCs w:val="22"/>
        </w:rPr>
        <w:t>O PREFEITO MUNICIPAL DE VIADUTOS</w:t>
      </w:r>
      <w:r w:rsidRPr="0086046A">
        <w:rPr>
          <w:rFonts w:ascii="Times New Roman" w:hAnsi="Times New Roman" w:cs="Times New Roman"/>
          <w:sz w:val="22"/>
          <w:szCs w:val="22"/>
        </w:rPr>
        <w:t xml:space="preserve">, no uso de suas atribuições, torna público, para conhecimento dos interessados, que às </w:t>
      </w:r>
      <w:r w:rsidRPr="0086046A">
        <w:rPr>
          <w:rFonts w:ascii="Times New Roman" w:hAnsi="Times New Roman" w:cs="Times New Roman"/>
          <w:b/>
          <w:bCs/>
          <w:sz w:val="22"/>
          <w:szCs w:val="22"/>
        </w:rPr>
        <w:t>09:00</w:t>
      </w:r>
      <w:r w:rsidRPr="0086046A">
        <w:rPr>
          <w:rFonts w:ascii="Times New Roman" w:hAnsi="Times New Roman" w:cs="Times New Roman"/>
          <w:sz w:val="22"/>
          <w:szCs w:val="22"/>
        </w:rPr>
        <w:t xml:space="preserve"> horas, do dia </w:t>
      </w:r>
      <w:r w:rsidR="002E75EB" w:rsidRPr="0086046A">
        <w:rPr>
          <w:rFonts w:ascii="Times New Roman" w:hAnsi="Times New Roman" w:cs="Times New Roman"/>
          <w:b/>
          <w:bCs/>
          <w:sz w:val="22"/>
          <w:szCs w:val="22"/>
        </w:rPr>
        <w:t>0</w:t>
      </w:r>
      <w:r w:rsidR="000B2ED5">
        <w:rPr>
          <w:rFonts w:ascii="Times New Roman" w:hAnsi="Times New Roman" w:cs="Times New Roman"/>
          <w:b/>
          <w:bCs/>
          <w:sz w:val="22"/>
          <w:szCs w:val="22"/>
        </w:rPr>
        <w:t>7</w:t>
      </w:r>
      <w:r w:rsidRPr="0086046A">
        <w:rPr>
          <w:rFonts w:ascii="Times New Roman" w:hAnsi="Times New Roman" w:cs="Times New Roman"/>
          <w:b/>
          <w:bCs/>
          <w:sz w:val="22"/>
          <w:szCs w:val="22"/>
        </w:rPr>
        <w:t>/0</w:t>
      </w:r>
      <w:r w:rsidR="000B2ED5">
        <w:rPr>
          <w:rFonts w:ascii="Times New Roman" w:hAnsi="Times New Roman" w:cs="Times New Roman"/>
          <w:b/>
          <w:bCs/>
          <w:sz w:val="22"/>
          <w:szCs w:val="22"/>
        </w:rPr>
        <w:t>5</w:t>
      </w:r>
      <w:bookmarkStart w:id="0" w:name="_GoBack"/>
      <w:bookmarkEnd w:id="0"/>
      <w:r w:rsidRPr="0086046A">
        <w:rPr>
          <w:rFonts w:ascii="Times New Roman" w:hAnsi="Times New Roman" w:cs="Times New Roman"/>
          <w:b/>
          <w:bCs/>
          <w:sz w:val="22"/>
          <w:szCs w:val="22"/>
        </w:rPr>
        <w:t>/26</w:t>
      </w:r>
      <w:r w:rsidRPr="0086046A">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 xml:space="preserve">1. DO OBJETO: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9"/>
        <w:gridCol w:w="709"/>
        <w:gridCol w:w="3260"/>
        <w:gridCol w:w="1276"/>
        <w:gridCol w:w="992"/>
        <w:gridCol w:w="1276"/>
        <w:gridCol w:w="1559"/>
      </w:tblGrid>
      <w:tr w:rsidR="00656788" w:rsidRPr="0086046A" w:rsidTr="00692A9D">
        <w:tc>
          <w:tcPr>
            <w:tcW w:w="709" w:type="dxa"/>
          </w:tcPr>
          <w:p w:rsidR="00656788" w:rsidRPr="0086046A" w:rsidRDefault="00656788" w:rsidP="0086046A">
            <w:pPr>
              <w:pStyle w:val="Contedodatabela"/>
              <w:jc w:val="center"/>
              <w:rPr>
                <w:b/>
                <w:sz w:val="22"/>
                <w:szCs w:val="22"/>
              </w:rPr>
            </w:pPr>
            <w:r w:rsidRPr="0086046A">
              <w:rPr>
                <w:b/>
                <w:sz w:val="22"/>
                <w:szCs w:val="22"/>
              </w:rPr>
              <w:t>Lote</w:t>
            </w:r>
          </w:p>
        </w:tc>
        <w:tc>
          <w:tcPr>
            <w:tcW w:w="709" w:type="dxa"/>
          </w:tcPr>
          <w:p w:rsidR="00656788" w:rsidRPr="0086046A" w:rsidRDefault="00656788" w:rsidP="0086046A">
            <w:pPr>
              <w:pStyle w:val="Contedodatabela"/>
              <w:jc w:val="center"/>
              <w:rPr>
                <w:b/>
                <w:sz w:val="22"/>
                <w:szCs w:val="22"/>
              </w:rPr>
            </w:pPr>
            <w:r w:rsidRPr="0086046A">
              <w:rPr>
                <w:b/>
                <w:sz w:val="22"/>
                <w:szCs w:val="22"/>
              </w:rPr>
              <w:t>Item</w:t>
            </w:r>
          </w:p>
        </w:tc>
        <w:tc>
          <w:tcPr>
            <w:tcW w:w="3260" w:type="dxa"/>
          </w:tcPr>
          <w:p w:rsidR="00656788" w:rsidRPr="0086046A" w:rsidRDefault="00656788" w:rsidP="0086046A">
            <w:pPr>
              <w:pStyle w:val="Contedodatabela"/>
              <w:jc w:val="center"/>
              <w:rPr>
                <w:b/>
                <w:sz w:val="22"/>
                <w:szCs w:val="22"/>
              </w:rPr>
            </w:pPr>
            <w:r w:rsidRPr="0086046A">
              <w:rPr>
                <w:b/>
                <w:sz w:val="22"/>
                <w:szCs w:val="22"/>
              </w:rPr>
              <w:t>Descrição</w:t>
            </w:r>
          </w:p>
        </w:tc>
        <w:tc>
          <w:tcPr>
            <w:tcW w:w="1276" w:type="dxa"/>
          </w:tcPr>
          <w:p w:rsidR="00656788" w:rsidRPr="0086046A" w:rsidRDefault="00656788" w:rsidP="0086046A">
            <w:pPr>
              <w:pStyle w:val="Contedodatabela"/>
              <w:jc w:val="center"/>
              <w:rPr>
                <w:b/>
                <w:sz w:val="22"/>
                <w:szCs w:val="22"/>
              </w:rPr>
            </w:pPr>
            <w:r w:rsidRPr="0086046A">
              <w:rPr>
                <w:b/>
                <w:sz w:val="22"/>
                <w:szCs w:val="22"/>
              </w:rPr>
              <w:t>Quantidade</w:t>
            </w:r>
          </w:p>
        </w:tc>
        <w:tc>
          <w:tcPr>
            <w:tcW w:w="992" w:type="dxa"/>
          </w:tcPr>
          <w:p w:rsidR="00656788" w:rsidRPr="0086046A" w:rsidRDefault="00656788" w:rsidP="0086046A">
            <w:pPr>
              <w:pStyle w:val="Contedodatabela"/>
              <w:jc w:val="center"/>
              <w:rPr>
                <w:b/>
                <w:sz w:val="22"/>
                <w:szCs w:val="22"/>
              </w:rPr>
            </w:pPr>
            <w:r w:rsidRPr="0086046A">
              <w:rPr>
                <w:b/>
                <w:sz w:val="22"/>
                <w:szCs w:val="22"/>
              </w:rPr>
              <w:t>Unidade</w:t>
            </w:r>
          </w:p>
        </w:tc>
        <w:tc>
          <w:tcPr>
            <w:tcW w:w="1276" w:type="dxa"/>
          </w:tcPr>
          <w:p w:rsidR="00656788" w:rsidRPr="0086046A" w:rsidRDefault="00656788" w:rsidP="0086046A">
            <w:pPr>
              <w:pStyle w:val="Contedodatabela"/>
              <w:jc w:val="center"/>
              <w:rPr>
                <w:b/>
                <w:sz w:val="22"/>
                <w:szCs w:val="22"/>
              </w:rPr>
            </w:pPr>
            <w:r w:rsidRPr="0086046A">
              <w:rPr>
                <w:b/>
                <w:sz w:val="22"/>
                <w:szCs w:val="22"/>
              </w:rPr>
              <w:t>Unitário</w:t>
            </w:r>
          </w:p>
        </w:tc>
        <w:tc>
          <w:tcPr>
            <w:tcW w:w="1559" w:type="dxa"/>
          </w:tcPr>
          <w:p w:rsidR="00656788" w:rsidRPr="0086046A" w:rsidRDefault="00656788" w:rsidP="0086046A">
            <w:pPr>
              <w:pStyle w:val="Contedodatabela"/>
              <w:jc w:val="center"/>
              <w:rPr>
                <w:b/>
                <w:sz w:val="22"/>
                <w:szCs w:val="22"/>
              </w:rPr>
            </w:pPr>
            <w:r w:rsidRPr="0086046A">
              <w:rPr>
                <w:b/>
                <w:sz w:val="22"/>
                <w:szCs w:val="22"/>
              </w:rPr>
              <w:t>Total</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3260" w:type="dxa"/>
          </w:tcPr>
          <w:p w:rsidR="00FF0713" w:rsidRPr="0086046A" w:rsidRDefault="00FF0713" w:rsidP="00FF0713">
            <w:pPr>
              <w:pStyle w:val="Contedodatabela"/>
              <w:jc w:val="both"/>
              <w:rPr>
                <w:sz w:val="22"/>
                <w:szCs w:val="22"/>
              </w:rPr>
            </w:pPr>
            <w:r w:rsidRPr="0086046A">
              <w:rPr>
                <w:sz w:val="22"/>
                <w:szCs w:val="22"/>
              </w:rPr>
              <w:t>Retirada e reinstalação de moto bomba</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R$ 1.200,00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R$ 24.000,00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2</w:t>
            </w:r>
          </w:p>
        </w:tc>
        <w:tc>
          <w:tcPr>
            <w:tcW w:w="3260" w:type="dxa"/>
          </w:tcPr>
          <w:p w:rsidR="00FF0713" w:rsidRPr="0086046A" w:rsidRDefault="00FF0713" w:rsidP="00FF0713">
            <w:pPr>
              <w:pStyle w:val="Contedodatabela"/>
              <w:jc w:val="both"/>
              <w:rPr>
                <w:sz w:val="22"/>
                <w:szCs w:val="22"/>
              </w:rPr>
            </w:pPr>
            <w:r w:rsidRPr="0086046A">
              <w:rPr>
                <w:sz w:val="22"/>
                <w:szCs w:val="22"/>
              </w:rPr>
              <w:t>Tubo de monitoramento (inspeção), tubo PVC, diâmetro 25mm.</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3.000,0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M</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R$ 7,50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R$ 22.500,00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3</w:t>
            </w:r>
          </w:p>
        </w:tc>
        <w:tc>
          <w:tcPr>
            <w:tcW w:w="3260" w:type="dxa"/>
          </w:tcPr>
          <w:p w:rsidR="00FF0713" w:rsidRPr="0086046A" w:rsidRDefault="00FF0713" w:rsidP="00FF0713">
            <w:pPr>
              <w:pStyle w:val="Contedodatabela"/>
              <w:jc w:val="both"/>
              <w:rPr>
                <w:sz w:val="22"/>
                <w:szCs w:val="22"/>
              </w:rPr>
            </w:pPr>
            <w:r w:rsidRPr="0086046A">
              <w:rPr>
                <w:sz w:val="22"/>
                <w:szCs w:val="22"/>
              </w:rPr>
              <w:t>Tampa do poço, em ferro fundido diâmetro de 6 e furação observando-se a tubulação existente em cada poço, conforme modelo anexo</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R$ 250,00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R$ 5.000,00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4</w:t>
            </w:r>
          </w:p>
        </w:tc>
        <w:tc>
          <w:tcPr>
            <w:tcW w:w="3260" w:type="dxa"/>
          </w:tcPr>
          <w:p w:rsidR="00FF0713" w:rsidRPr="0086046A" w:rsidRDefault="00FF0713" w:rsidP="00FF0713">
            <w:pPr>
              <w:pStyle w:val="Contedodatabela"/>
              <w:jc w:val="both"/>
              <w:rPr>
                <w:sz w:val="22"/>
                <w:szCs w:val="22"/>
              </w:rPr>
            </w:pPr>
            <w:r w:rsidRPr="0086046A">
              <w:rPr>
                <w:sz w:val="22"/>
                <w:szCs w:val="22"/>
              </w:rPr>
              <w:t>Teste de vazão 24 horas</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R$ 2.400,00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R$ 48.000,00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5</w:t>
            </w:r>
          </w:p>
        </w:tc>
        <w:tc>
          <w:tcPr>
            <w:tcW w:w="3260" w:type="dxa"/>
          </w:tcPr>
          <w:p w:rsidR="00FF0713" w:rsidRPr="0086046A" w:rsidRDefault="00FF0713" w:rsidP="00FF0713">
            <w:pPr>
              <w:pStyle w:val="Contedodatabela"/>
              <w:jc w:val="both"/>
              <w:rPr>
                <w:sz w:val="22"/>
                <w:szCs w:val="22"/>
              </w:rPr>
            </w:pPr>
            <w:r w:rsidRPr="0086046A">
              <w:rPr>
                <w:sz w:val="22"/>
                <w:szCs w:val="22"/>
              </w:rPr>
              <w:t>Análises físico, químico e bacteriológica</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R$ 1.200,00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R$ 24.000,00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sidRPr="0086046A">
              <w:rPr>
                <w:sz w:val="22"/>
                <w:szCs w:val="22"/>
              </w:rPr>
              <w:t>6</w:t>
            </w:r>
          </w:p>
        </w:tc>
        <w:tc>
          <w:tcPr>
            <w:tcW w:w="3260" w:type="dxa"/>
          </w:tcPr>
          <w:p w:rsidR="00FF0713" w:rsidRPr="0086046A" w:rsidRDefault="00FF0713" w:rsidP="00FF0713">
            <w:pPr>
              <w:pStyle w:val="Contedodatabela"/>
              <w:jc w:val="both"/>
              <w:rPr>
                <w:sz w:val="22"/>
                <w:szCs w:val="22"/>
              </w:rPr>
            </w:pPr>
            <w:r w:rsidRPr="0086046A">
              <w:rPr>
                <w:sz w:val="22"/>
                <w:szCs w:val="22"/>
              </w:rPr>
              <w:t>Hidrômetro multijato 10m³/h para controle de volume compatível com vazão de água</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R$ 980,00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R$ 19.600,00</w:t>
            </w:r>
          </w:p>
        </w:tc>
      </w:tr>
      <w:tr w:rsidR="00FF0713" w:rsidRPr="0086046A" w:rsidTr="00692A9D">
        <w:tc>
          <w:tcPr>
            <w:tcW w:w="709" w:type="dxa"/>
          </w:tcPr>
          <w:p w:rsidR="00FF0713" w:rsidRPr="0086046A" w:rsidRDefault="00FF0713" w:rsidP="00FF0713">
            <w:pPr>
              <w:pStyle w:val="Contedodatabela"/>
              <w:jc w:val="center"/>
              <w:rPr>
                <w:sz w:val="22"/>
                <w:szCs w:val="22"/>
              </w:rPr>
            </w:pPr>
            <w:r>
              <w:rPr>
                <w:sz w:val="22"/>
                <w:szCs w:val="22"/>
              </w:rPr>
              <w:t>1</w:t>
            </w:r>
          </w:p>
        </w:tc>
        <w:tc>
          <w:tcPr>
            <w:tcW w:w="709" w:type="dxa"/>
          </w:tcPr>
          <w:p w:rsidR="00FF0713" w:rsidRPr="0086046A" w:rsidRDefault="00FF0713" w:rsidP="00FF0713">
            <w:pPr>
              <w:pStyle w:val="Contedodatabela"/>
              <w:jc w:val="center"/>
              <w:rPr>
                <w:sz w:val="22"/>
                <w:szCs w:val="22"/>
              </w:rPr>
            </w:pPr>
            <w:r>
              <w:rPr>
                <w:sz w:val="22"/>
                <w:szCs w:val="22"/>
              </w:rPr>
              <w:t>7</w:t>
            </w:r>
          </w:p>
        </w:tc>
        <w:tc>
          <w:tcPr>
            <w:tcW w:w="3260" w:type="dxa"/>
          </w:tcPr>
          <w:p w:rsidR="00FF0713" w:rsidRPr="0086046A" w:rsidRDefault="00FF0713" w:rsidP="00FF0713">
            <w:pPr>
              <w:pStyle w:val="Contedodatabela"/>
              <w:jc w:val="both"/>
              <w:rPr>
                <w:sz w:val="22"/>
                <w:szCs w:val="22"/>
              </w:rPr>
            </w:pPr>
            <w:r w:rsidRPr="0086046A">
              <w:rPr>
                <w:sz w:val="22"/>
                <w:szCs w:val="22"/>
              </w:rPr>
              <w:t>Cercado 2x2x1,5 conforme anexo</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R$ 2.800,00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R$ 56.000,00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Pr>
                <w:sz w:val="22"/>
                <w:szCs w:val="22"/>
              </w:rPr>
              <w:t>8</w:t>
            </w:r>
          </w:p>
        </w:tc>
        <w:tc>
          <w:tcPr>
            <w:tcW w:w="3260" w:type="dxa"/>
          </w:tcPr>
          <w:p w:rsidR="00FF0713" w:rsidRPr="0086046A" w:rsidRDefault="00FF0713" w:rsidP="00FF0713">
            <w:pPr>
              <w:pStyle w:val="Contedodatabela"/>
              <w:jc w:val="both"/>
              <w:rPr>
                <w:sz w:val="22"/>
                <w:szCs w:val="22"/>
              </w:rPr>
            </w:pPr>
            <w:r w:rsidRPr="0086046A">
              <w:rPr>
                <w:sz w:val="22"/>
                <w:szCs w:val="22"/>
              </w:rPr>
              <w:t xml:space="preserve">Laje de proteção sanitária de concreto, com área mínima de 1 m² e 10 cm de espessura, concêntrica ao tubo de revestimento e com declividade para as bordas, topo do revestimento saliente no mínimo 30 cm da laje de proteção. </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R$ 450,00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R$ 9.000,00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Pr>
                <w:sz w:val="22"/>
                <w:szCs w:val="22"/>
              </w:rPr>
              <w:t>9</w:t>
            </w:r>
          </w:p>
        </w:tc>
        <w:tc>
          <w:tcPr>
            <w:tcW w:w="3260" w:type="dxa"/>
          </w:tcPr>
          <w:p w:rsidR="00FF0713" w:rsidRPr="0086046A" w:rsidRDefault="00FF0713" w:rsidP="00FF0713">
            <w:pPr>
              <w:pStyle w:val="Contedodatabela"/>
              <w:jc w:val="both"/>
              <w:rPr>
                <w:sz w:val="22"/>
                <w:szCs w:val="22"/>
              </w:rPr>
            </w:pPr>
            <w:r>
              <w:rPr>
                <w:sz w:val="22"/>
                <w:szCs w:val="22"/>
              </w:rPr>
              <w:t xml:space="preserve">Adequação de altura do tubo do </w:t>
            </w:r>
            <w:r w:rsidRPr="0086046A">
              <w:rPr>
                <w:sz w:val="22"/>
                <w:szCs w:val="22"/>
              </w:rPr>
              <w:t>poço</w:t>
            </w:r>
            <w:r>
              <w:rPr>
                <w:sz w:val="22"/>
                <w:szCs w:val="22"/>
              </w:rPr>
              <w:t xml:space="preserve"> de no mínimo 60 centímetros acima do solo em tubo geomecânico de 6 polegadas.</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R$ 450,00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R$ 9.000,00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t>1</w:t>
            </w:r>
          </w:p>
        </w:tc>
        <w:tc>
          <w:tcPr>
            <w:tcW w:w="709" w:type="dxa"/>
          </w:tcPr>
          <w:p w:rsidR="00FF0713" w:rsidRPr="0086046A" w:rsidRDefault="00FF0713" w:rsidP="00FF0713">
            <w:pPr>
              <w:pStyle w:val="Contedodatabela"/>
              <w:jc w:val="center"/>
              <w:rPr>
                <w:sz w:val="22"/>
                <w:szCs w:val="22"/>
              </w:rPr>
            </w:pPr>
            <w:r>
              <w:rPr>
                <w:sz w:val="22"/>
                <w:szCs w:val="22"/>
              </w:rPr>
              <w:t>10</w:t>
            </w:r>
          </w:p>
        </w:tc>
        <w:tc>
          <w:tcPr>
            <w:tcW w:w="3260" w:type="dxa"/>
          </w:tcPr>
          <w:p w:rsidR="00FF0713" w:rsidRPr="0086046A" w:rsidRDefault="00FF0713" w:rsidP="00FF0713">
            <w:pPr>
              <w:pStyle w:val="Contedodatabela"/>
              <w:jc w:val="both"/>
              <w:rPr>
                <w:sz w:val="22"/>
                <w:szCs w:val="22"/>
              </w:rPr>
            </w:pPr>
            <w:r w:rsidRPr="0086046A">
              <w:rPr>
                <w:sz w:val="22"/>
                <w:szCs w:val="22"/>
              </w:rPr>
              <w:t xml:space="preserve">Encaminhamento e </w:t>
            </w:r>
            <w:r w:rsidRPr="0086046A">
              <w:rPr>
                <w:sz w:val="22"/>
                <w:szCs w:val="22"/>
              </w:rPr>
              <w:lastRenderedPageBreak/>
              <w:t>acompanhamento do processo da outorga (projeto, ART e demais tramites/documentos) junto ao SIOUT SEMA</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lastRenderedPageBreak/>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R$ 3.000,00</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R$ 60.000,00</w:t>
            </w:r>
          </w:p>
        </w:tc>
      </w:tr>
      <w:tr w:rsidR="00FF0713" w:rsidRPr="0086046A" w:rsidTr="00692A9D">
        <w:tc>
          <w:tcPr>
            <w:tcW w:w="709" w:type="dxa"/>
          </w:tcPr>
          <w:p w:rsidR="00FF0713" w:rsidRPr="0086046A" w:rsidRDefault="00FF0713" w:rsidP="00FF0713">
            <w:pPr>
              <w:pStyle w:val="Contedodatabela"/>
              <w:jc w:val="center"/>
              <w:rPr>
                <w:sz w:val="22"/>
                <w:szCs w:val="22"/>
              </w:rPr>
            </w:pPr>
            <w:r w:rsidRPr="0086046A">
              <w:rPr>
                <w:sz w:val="22"/>
                <w:szCs w:val="22"/>
              </w:rPr>
              <w:lastRenderedPageBreak/>
              <w:t>1</w:t>
            </w:r>
          </w:p>
        </w:tc>
        <w:tc>
          <w:tcPr>
            <w:tcW w:w="709" w:type="dxa"/>
          </w:tcPr>
          <w:p w:rsidR="00FF0713" w:rsidRPr="0086046A" w:rsidRDefault="00FF0713" w:rsidP="00FF0713">
            <w:pPr>
              <w:pStyle w:val="Contedodatabela"/>
              <w:jc w:val="center"/>
              <w:rPr>
                <w:sz w:val="22"/>
                <w:szCs w:val="22"/>
              </w:rPr>
            </w:pPr>
            <w:r>
              <w:rPr>
                <w:sz w:val="22"/>
                <w:szCs w:val="22"/>
              </w:rPr>
              <w:t>11</w:t>
            </w:r>
          </w:p>
        </w:tc>
        <w:tc>
          <w:tcPr>
            <w:tcW w:w="3260" w:type="dxa"/>
          </w:tcPr>
          <w:p w:rsidR="00FF0713" w:rsidRDefault="00FF0713" w:rsidP="00FF0713">
            <w:pPr>
              <w:pStyle w:val="Standard"/>
              <w:rPr>
                <w:rFonts w:ascii="Times New Roman" w:hAnsi="Times New Roman"/>
                <w:sz w:val="22"/>
                <w:szCs w:val="22"/>
              </w:rPr>
            </w:pPr>
            <w:r>
              <w:rPr>
                <w:rFonts w:ascii="Times New Roman" w:hAnsi="Times New Roman"/>
                <w:sz w:val="22"/>
                <w:szCs w:val="22"/>
              </w:rPr>
              <w:t>Torneira plástica com conexões compatíveis com a vazão de agua, necessário para coleta de água</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20,0</w:t>
            </w:r>
          </w:p>
        </w:tc>
        <w:tc>
          <w:tcPr>
            <w:tcW w:w="992"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Und</w:t>
            </w:r>
          </w:p>
        </w:tc>
        <w:tc>
          <w:tcPr>
            <w:tcW w:w="1276"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R$ 21,88</w:t>
            </w:r>
          </w:p>
        </w:tc>
        <w:tc>
          <w:tcPr>
            <w:tcW w:w="1559" w:type="dxa"/>
          </w:tcPr>
          <w:p w:rsidR="00FF0713" w:rsidRDefault="00FF0713" w:rsidP="00FF0713">
            <w:pPr>
              <w:pStyle w:val="Standard"/>
              <w:jc w:val="right"/>
              <w:rPr>
                <w:rFonts w:ascii="Times New Roman" w:hAnsi="Times New Roman"/>
                <w:sz w:val="22"/>
                <w:szCs w:val="22"/>
              </w:rPr>
            </w:pPr>
            <w:r>
              <w:rPr>
                <w:rFonts w:ascii="Times New Roman" w:hAnsi="Times New Roman"/>
                <w:sz w:val="22"/>
                <w:szCs w:val="22"/>
              </w:rPr>
              <w:t>R$ 437,60</w:t>
            </w:r>
          </w:p>
        </w:tc>
      </w:tr>
      <w:tr w:rsidR="00FF0713" w:rsidRPr="0086046A" w:rsidTr="00692A9D">
        <w:tc>
          <w:tcPr>
            <w:tcW w:w="709" w:type="dxa"/>
          </w:tcPr>
          <w:p w:rsidR="00FF0713" w:rsidRPr="0086046A" w:rsidRDefault="00FF0713" w:rsidP="00FF0713">
            <w:pPr>
              <w:pStyle w:val="Contedodatabela"/>
              <w:jc w:val="center"/>
              <w:rPr>
                <w:sz w:val="22"/>
                <w:szCs w:val="22"/>
              </w:rPr>
            </w:pPr>
          </w:p>
        </w:tc>
        <w:tc>
          <w:tcPr>
            <w:tcW w:w="709" w:type="dxa"/>
          </w:tcPr>
          <w:p w:rsidR="00FF0713" w:rsidRPr="0086046A" w:rsidRDefault="00FF0713" w:rsidP="00FF0713">
            <w:pPr>
              <w:pStyle w:val="Contedodatabela"/>
              <w:jc w:val="center"/>
              <w:rPr>
                <w:sz w:val="22"/>
                <w:szCs w:val="22"/>
              </w:rPr>
            </w:pPr>
          </w:p>
        </w:tc>
        <w:tc>
          <w:tcPr>
            <w:tcW w:w="3260" w:type="dxa"/>
          </w:tcPr>
          <w:p w:rsidR="00FF0713" w:rsidRDefault="00FF0713" w:rsidP="00FF0713">
            <w:pPr>
              <w:pStyle w:val="Standard"/>
              <w:rPr>
                <w:rFonts w:ascii="Times New Roman" w:hAnsi="Times New Roman"/>
                <w:sz w:val="22"/>
                <w:szCs w:val="22"/>
              </w:rPr>
            </w:pPr>
          </w:p>
        </w:tc>
        <w:tc>
          <w:tcPr>
            <w:tcW w:w="1276" w:type="dxa"/>
          </w:tcPr>
          <w:p w:rsidR="00FF0713" w:rsidRDefault="00FF0713" w:rsidP="00FF0713">
            <w:pPr>
              <w:pStyle w:val="Standard"/>
              <w:jc w:val="right"/>
              <w:rPr>
                <w:rFonts w:ascii="Times New Roman" w:hAnsi="Times New Roman"/>
                <w:sz w:val="22"/>
                <w:szCs w:val="22"/>
              </w:rPr>
            </w:pPr>
          </w:p>
        </w:tc>
        <w:tc>
          <w:tcPr>
            <w:tcW w:w="992" w:type="dxa"/>
          </w:tcPr>
          <w:p w:rsidR="00FF0713" w:rsidRDefault="00FF0713" w:rsidP="00FF0713">
            <w:pPr>
              <w:pStyle w:val="Standard"/>
              <w:jc w:val="right"/>
              <w:rPr>
                <w:rFonts w:ascii="Times New Roman" w:hAnsi="Times New Roman"/>
                <w:sz w:val="22"/>
                <w:szCs w:val="22"/>
              </w:rPr>
            </w:pPr>
          </w:p>
        </w:tc>
        <w:tc>
          <w:tcPr>
            <w:tcW w:w="1276" w:type="dxa"/>
          </w:tcPr>
          <w:p w:rsidR="00FF0713" w:rsidRPr="00E56A38" w:rsidRDefault="00FF0713" w:rsidP="00FF0713">
            <w:pPr>
              <w:pStyle w:val="Standard"/>
              <w:jc w:val="center"/>
              <w:rPr>
                <w:rFonts w:ascii="Times New Roman" w:hAnsi="Times New Roman"/>
                <w:b/>
                <w:sz w:val="22"/>
                <w:szCs w:val="22"/>
              </w:rPr>
            </w:pPr>
            <w:r w:rsidRPr="00E56A38">
              <w:rPr>
                <w:rFonts w:ascii="Times New Roman" w:hAnsi="Times New Roman"/>
                <w:b/>
                <w:sz w:val="22"/>
                <w:szCs w:val="22"/>
              </w:rPr>
              <w:t>TOTAL</w:t>
            </w:r>
          </w:p>
        </w:tc>
        <w:tc>
          <w:tcPr>
            <w:tcW w:w="1559" w:type="dxa"/>
          </w:tcPr>
          <w:p w:rsidR="00FF0713" w:rsidRPr="00E56A38" w:rsidRDefault="00FF0713" w:rsidP="00FF0713">
            <w:pPr>
              <w:pStyle w:val="Standard"/>
              <w:jc w:val="center"/>
              <w:rPr>
                <w:rFonts w:ascii="Times New Roman" w:hAnsi="Times New Roman"/>
                <w:b/>
                <w:sz w:val="22"/>
                <w:szCs w:val="22"/>
              </w:rPr>
            </w:pPr>
            <w:r w:rsidRPr="00E56A38">
              <w:rPr>
                <w:rFonts w:ascii="Times New Roman" w:hAnsi="Times New Roman"/>
                <w:b/>
                <w:sz w:val="22"/>
                <w:szCs w:val="22"/>
              </w:rPr>
              <w:t>R$ 277.137,60</w:t>
            </w:r>
          </w:p>
        </w:tc>
      </w:tr>
      <w:tr w:rsidR="00F25369" w:rsidRPr="0086046A" w:rsidTr="00692A9D">
        <w:tc>
          <w:tcPr>
            <w:tcW w:w="9781" w:type="dxa"/>
            <w:gridSpan w:val="7"/>
          </w:tcPr>
          <w:p w:rsidR="00F25369" w:rsidRPr="0086046A" w:rsidRDefault="00F25369" w:rsidP="0086046A">
            <w:pPr>
              <w:pStyle w:val="Contedodatabela"/>
              <w:numPr>
                <w:ilvl w:val="0"/>
                <w:numId w:val="2"/>
              </w:numPr>
              <w:rPr>
                <w:b/>
                <w:sz w:val="22"/>
                <w:szCs w:val="22"/>
              </w:rPr>
            </w:pPr>
            <w:r w:rsidRPr="0086046A">
              <w:rPr>
                <w:b/>
                <w:sz w:val="22"/>
                <w:szCs w:val="22"/>
              </w:rPr>
              <w:t>Execução:</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A regularização e legalização dos poços artesianos deverão ser executadas por profissionais habilitados (Geólogo ou Engenheiro de Minas) vinculados à empresa, sendo responsabilidade da contratada elaborar e custear: Estudos hidrogeológicos; Testes técnicos; Elaboração de relatórios; Anotação de Responsabilidade Técnica (ART); e Acompanhamento do processo. A empresa contratada deverá encaminhar à Secretaria Estadual do Meio Ambiente a seguinte documentação técnica: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Estudo hidro geológico;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Teste de bombeamento (24h para poços de grande vazão);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Análise físico-química e bacteriológica da água;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Perfil construtivo e geológico do poço;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Medição de nível estático e dinâmico;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Determinação da vazão de explotação;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Coordenadas geográficas (GPS);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 Relatório fotográfico. </w:t>
            </w:r>
          </w:p>
          <w:p w:rsidR="00CA60F7" w:rsidRPr="00CA60F7" w:rsidRDefault="00CA60F7" w:rsidP="00CA60F7">
            <w:pPr>
              <w:suppressAutoHyphens w:val="0"/>
              <w:overflowPunct/>
              <w:autoSpaceDN w:val="0"/>
              <w:adjustRightInd w:val="0"/>
              <w:textAlignment w:val="auto"/>
              <w:rPr>
                <w:rFonts w:eastAsia="NSimSun"/>
                <w:color w:val="000000"/>
                <w:sz w:val="22"/>
                <w:szCs w:val="22"/>
              </w:rPr>
            </w:pPr>
            <w:r w:rsidRPr="00CA60F7">
              <w:rPr>
                <w:rFonts w:eastAsia="NSimSun"/>
                <w:color w:val="000000"/>
                <w:sz w:val="22"/>
                <w:szCs w:val="22"/>
              </w:rPr>
              <w:t xml:space="preserve">Conforme solicitação da Secretaria Estadual do Meio Ambiente - SEMA, a contratada não deverá criar novos cadastros de poços artesianos que já foram cadastrados para que não haja duplicação de cadastro. </w:t>
            </w:r>
          </w:p>
          <w:p w:rsidR="00F25369" w:rsidRPr="0086046A" w:rsidRDefault="00CA60F7" w:rsidP="00CA60F7">
            <w:pPr>
              <w:pStyle w:val="Standard"/>
              <w:jc w:val="both"/>
              <w:rPr>
                <w:sz w:val="22"/>
                <w:szCs w:val="22"/>
              </w:rPr>
            </w:pPr>
            <w:r w:rsidRPr="00CA60F7">
              <w:rPr>
                <w:rFonts w:ascii="Times New Roman" w:eastAsia="NSimSun" w:hAnsi="Times New Roman" w:cs="Times New Roman"/>
                <w:color w:val="000000"/>
                <w:kern w:val="0"/>
                <w:sz w:val="22"/>
                <w:szCs w:val="22"/>
                <w:lang w:bidi="ar-SA"/>
              </w:rPr>
              <w:t>A contratada deverá encaminhar a documentação no sistema SIOUT RS e acompanhar o processo até a emissão da outorga do poço artesiano, responsabilizando-se por prestar eventuais informações adicionais solicitadas pela Secretaria Estadual do Meio Ambiente - SEMA.</w:t>
            </w:r>
          </w:p>
        </w:tc>
      </w:tr>
    </w:tbl>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2. DA APRESENTAÇÃO DOS ENVELOPES: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AO MUNICÍPIO DE VIADUTOS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EDITAL DE PREGÃO Nº 7/2026</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ENVELOPE Nº 01 – DOCUMENTAÇÃO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PROPONENTE (NOME COMPLETO)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AO MUNICÍPIO DE VIADUTOS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EDITAL DE PREGÃO Nº 7/2026</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ENVELOPE Nº 02 – PROPOSTA</w:t>
      </w:r>
      <w:r w:rsidRPr="0086046A">
        <w:rPr>
          <w:rFonts w:ascii="Times New Roman" w:hAnsi="Times New Roman" w:cs="Times New Roman"/>
          <w:sz w:val="22"/>
          <w:szCs w:val="22"/>
        </w:rPr>
        <w:tab/>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PROPONENTE (NOME COMPLETO)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3. DA REPRESENTAÇÃO E DO CREDENCIAMENTO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3.1.1. A identificação será realizada, exclusivamente, através da apresentação de documento de identidade.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3.2. A documentação referente ao credenciamento de que trata o item 3.1 deverá ser apresentada fora dos envelopes.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3.3. O credenciamento será efetuado da seguinte forma: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lastRenderedPageBreak/>
        <w:t>a) se representada diretamente, por meio de dirigente, proprietário, sócio ou assemelhado, deverá apresentar: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a.1) cópia do respectivo Estatuto ou Contrato Social em vigor, devidamente registrado;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a.2) documento de eleição de seus administradores, em se tratando de sociedade comercial ou de sociedade por ações;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a.3) inscrição do ato constitutivo, acompanhado de prova de diretoria em exercício, no caso de sociedade civil;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a.5) registro comercial, se empresa individual.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se representada por procurador, deverá apresentar: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4. DO RECEBIMENTO E ABERTURA DOS ENVELOPES: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nº01 – DOCUMENTAÇÃO e n°02 – PROPOSTA.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4.2. Uma vez encerrado o prazo para a entrega dos envelopes acima referidos, não será aceita a participação de nenhuma licitante retardatária.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4.3. O pregoeiro realizará o credenciamento das interessadas, as quais deverão: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comprovar, por meio de instrumento próprio, poderes para formulação de ofertas e lances verbais, bem como para a prática dos demais atos do certame;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apresentar, ainda, declaração de que cumprem plenamente os requisitos de habilitação.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5. DOCUMENTOS DE HABILITAÇÃO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Para fins de habilitação neste pregão, a licitante deverá apresentar, dentro do ENVELOPE Nº 01, os seguintes documentos:</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5.1. HABILITAÇÃO JURÍDICA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cópia do registro comercial, no caso de empresa individual;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b) cópia do ato constitutivo, estatuto ou contrato social em vigor, devidamente registrado, em se tratando de </w:t>
      </w:r>
      <w:r w:rsidRPr="0086046A">
        <w:rPr>
          <w:rFonts w:ascii="Times New Roman" w:hAnsi="Times New Roman" w:cs="Times New Roman"/>
          <w:sz w:val="22"/>
          <w:szCs w:val="22"/>
        </w:rPr>
        <w:lastRenderedPageBreak/>
        <w:t>sociedades comerciais, e, no caso de sociedade por ações, acompanhado de documentos de eleição de seus administradores;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5.2. HABILITAÇÃO FISCAL, SOCIAL E TRABALHISTA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comprovante de inscrição no Cadastro de Pessoas Físicas (CPF) ou no Cadastro Nacional da Pessoa Jurídica (CNPJ);</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prova de regularidade perante a Fazenda federal, estadual e municipal do domicílio ou sede do licitante;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prova de regularidade relativa à Seguridade Social e ao FGTS, que demonstre cumprimento dos encargos sociais instituídos por lei;</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 prova de regularidade perante a Justiça do Trabalho;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f) declaração de cumprimento do disposto no inciso XXXIII do </w:t>
      </w:r>
      <w:r w:rsidR="009C3CC8" w:rsidRPr="0086046A">
        <w:rPr>
          <w:rFonts w:ascii="Times New Roman" w:hAnsi="Times New Roman" w:cs="Times New Roman"/>
          <w:sz w:val="22"/>
          <w:szCs w:val="22"/>
        </w:rPr>
        <w:t>art. 7º da Constituição Federal,</w:t>
      </w:r>
      <w:r w:rsidRPr="0086046A">
        <w:rPr>
          <w:rFonts w:ascii="Times New Roman" w:hAnsi="Times New Roman" w:cs="Times New Roman"/>
          <w:sz w:val="22"/>
          <w:szCs w:val="22"/>
        </w:rPr>
        <w:t xml:space="preserve"> conforme o modelo do Decreto Federal n° 4.358/2002.</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5.3. HABILITAÇÃO ECONÔMICO-FINANCEIRA: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9C3CC8" w:rsidRPr="0086046A" w:rsidRDefault="009C3CC8" w:rsidP="0086046A">
      <w:pPr>
        <w:pStyle w:val="Standard"/>
        <w:jc w:val="both"/>
        <w:rPr>
          <w:rFonts w:ascii="Times New Roman" w:hAnsi="Times New Roman" w:cs="Times New Roman"/>
          <w:sz w:val="22"/>
          <w:szCs w:val="22"/>
        </w:rPr>
      </w:pPr>
    </w:p>
    <w:p w:rsidR="009C3CC8" w:rsidRPr="0086046A" w:rsidRDefault="009C3CC8" w:rsidP="0086046A">
      <w:pPr>
        <w:pStyle w:val="Standard"/>
        <w:jc w:val="both"/>
        <w:rPr>
          <w:rFonts w:ascii="Times New Roman" w:hAnsi="Times New Roman" w:cs="Times New Roman"/>
          <w:b/>
          <w:sz w:val="22"/>
          <w:szCs w:val="22"/>
        </w:rPr>
      </w:pPr>
      <w:r w:rsidRPr="0086046A">
        <w:rPr>
          <w:rFonts w:ascii="Times New Roman" w:hAnsi="Times New Roman" w:cs="Times New Roman"/>
          <w:b/>
          <w:sz w:val="22"/>
          <w:szCs w:val="22"/>
        </w:rPr>
        <w:t>5.4. HABILITAÇÃO TÉCNICA:</w:t>
      </w:r>
    </w:p>
    <w:p w:rsidR="009C3CC8" w:rsidRPr="0086046A" w:rsidRDefault="009C3CC8"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a) Atestado de capacidade técnica de órgão público ou privado </w:t>
      </w:r>
      <w:r w:rsidR="00296B2B" w:rsidRPr="0086046A">
        <w:rPr>
          <w:rFonts w:ascii="Times New Roman" w:hAnsi="Times New Roman" w:cs="Times New Roman"/>
          <w:sz w:val="22"/>
          <w:szCs w:val="22"/>
        </w:rPr>
        <w:t>de que a participante executou os serviços do objeto da presente licitação;</w:t>
      </w:r>
    </w:p>
    <w:p w:rsidR="009C3CC8" w:rsidRPr="0086046A" w:rsidRDefault="009C3CC8"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5.4.1 Após a entrega dos documentos para habilitação, não será permitida a substituição ou a apresentação de novos documentos, salvo em sede de diligência, para: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atualização de documentos cuja validade tenha expirado após a data de recebimento das propostas.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5.4.2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FE06C5" w:rsidRPr="0086046A" w:rsidRDefault="00FE06C5"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6. DA PROPOSTA DE PREÇO: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6.1.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razão social da empresa;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descrição completa do produto ofertado, marca, referências e demais dados técnicos;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7. DO JULGAMENTO DAS PROPOSTAS: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7.2. Caso duas ou mais propostas iniciais apresentem preços iguais, será realizado sorteio para determinação da ordem de oferta dos lances.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7.3. A oferta dos lances deverá ser efetuada no momento em que for conferida a palavra à licitante, obedecida a ordem prevista nos itens 7.1 e 7.2.</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7.3.1. Dada a palavra a licitante, esta disporá de 30 s (trinta segundos) para apresentar nova proposta.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7.4. É vedada a oferta de lance com vista ao empate.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7.5. Não poderá haver desistência dos lances já ofertados, sujeitando-se a proponente desistente às penalidades constantes neste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7.8. O encerramento da etapa competitiva dar-se-á quando, convocadas pelo pregoeiro, as licitantes manifestarem seu desinteresse em apresentar novos lances.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7.10.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7.11. Serão desclassificadas as propostas que: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não atenderem às exigências contidas no objeto desta licitação;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forem omissas em pontos essenciais, de modo a ensejar dúvidas;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afrontem qualquer dispositivo legal vigente, bem como as que não atenderem aos requisitos do item 5;</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contiverem opções de preços alternativos ou que apresentarem preços manifestamente inexequíveis.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7.12. Não serão consideradas, para julgamento das propostas, vantagens não previstas no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7.13.1. Entende-se como empate ficto aquelas situações em que as propostas apresentadas pela microempresa e pela empresa de pequeno porte, bem como pela cooperativa, sejam superiores em até 5% (cinco por cento) à proposta de menor valor.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7.14. Ocorrendo o empate, na forma do item anterior, proceder-se-á da seguinte forma: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7.13.1 deste edital, a apresentação de nova proposta, no prazo previsto na alínea a deste item.</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7.15. Se nenhuma microempresa, empresa de pequeno porte ou cooperativa, satisfizer as exigências do item 7.14 deste edital, será declarado vencedor do certame o licitante detentor da proposta originariamente de menor valor.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7.18. O disposto nos itens 7.13 a 7.14, deste edital, não se aplica às hipóteses em que a proposta de menor valor inicial tiver sido apresentado por microempresa, empresa de pequeno porte ou cooperativa.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7.20. A sessão pública não será suspensa, salvo motivo excepcional, devendo todas e quaisquer informações acerca do objeto serem esclarecidas previamente junto ao setor de Licitações deste Município.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7.21. Caso haja necessidade de adiamento da sessão pública, será marcada nova data para continuação dos trabalhos, devendo ficar intimadas, no mesmo ato, as licitantes presentes.</w:t>
      </w:r>
    </w:p>
    <w:p w:rsidR="00692A9D" w:rsidRDefault="00692A9D"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8. GARANTIA DE PROPOSTA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8.1 Devido a baixa complexidade dos itens não será exigida garantia da proposta.</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9. VEDAÇÕES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9.1 Não poderão disputar licitação ou participar da execução de contrato, direta ou indiretamente: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empresas controladoras, controladas ou coligadas, nos termos da Lei nº 6.404, de 15 de dezembro de 1976, concorrendo entre si;</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1275FF" w:rsidRDefault="001275FF"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10. VERIFICAÇÃO DA HABILITAÇÃO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92A9D" w:rsidRDefault="00692A9D" w:rsidP="0086046A">
      <w:pPr>
        <w:pStyle w:val="Standard"/>
        <w:jc w:val="both"/>
        <w:rPr>
          <w:rFonts w:ascii="Times New Roman" w:hAnsi="Times New Roman" w:cs="Times New Roman"/>
          <w:b/>
          <w:bCs/>
          <w:sz w:val="22"/>
          <w:szCs w:val="22"/>
        </w:rPr>
      </w:pPr>
    </w:p>
    <w:p w:rsidR="00692A9D" w:rsidRDefault="00692A9D"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11. RECURSO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11.1. Caberá recurso, no prazo de 3 (três) dias úteis, contado da data de intimação ou de lavratura da ata, em face de: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ato que defira ou indefira pedido de pré-qualificação de interessado ou de inscrição em registro cadastral, sua alteração ou cancelamento;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julgamento das propostas;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ato de habilitação ou inabilitação de licitante;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anulação ou revogação da licitação.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11.3. Quanto ao recurso apresentado em virtude do disposto nas alíneas “b” e “c” do item 11.1 do presente Edital, serão observadas as seguintes disposições: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a apreciação dar-se-á em fase única.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11.5. O acolhimento do recurso implicará invalidação apenas de ato insuscetível de aproveitamento.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11.6. O recurso interposto dará efeito suspensivo ao ato ou à decisão recorrida, até que sobrevenha decisão final da autoridade competente.</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12. ENCERRAMENTO DA LICITAÇÃO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determinar o retorno dos autos para saneamento de irregularidades;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revogar a licitação por motivo de conveniência e oportunidade;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proceder à anulação da licitação, de ofício ou mediante provocação de terceiros, sempre que presente ilegalidade insanável;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adjudicar o objeto e homologar a licitação.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13. CONDIÇÕES DE CONTRATAÇÃO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92A9D" w:rsidRDefault="00692A9D"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 xml:space="preserve">14. VIGÊNCIA DO CONTRATO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14.1. A vigência será de acordo com o disposto no documento do contrato.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15. PRAZOS E CONDIÇÕES DE PAGAMENTO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2978"/>
      </w:tblGrid>
      <w:tr w:rsidR="00FE06C5" w:rsidRPr="0086046A" w:rsidTr="00692A9D">
        <w:tc>
          <w:tcPr>
            <w:tcW w:w="3401" w:type="dxa"/>
            <w:tcBorders>
              <w:top w:val="single" w:sz="2" w:space="0" w:color="000000"/>
              <w:left w:val="single" w:sz="2" w:space="0" w:color="000000"/>
              <w:bottom w:val="single" w:sz="2" w:space="0" w:color="000000"/>
            </w:tcBorders>
          </w:tcPr>
          <w:p w:rsidR="00FE06C5" w:rsidRPr="0086046A" w:rsidRDefault="00D04CD9" w:rsidP="00692A9D">
            <w:pPr>
              <w:pStyle w:val="Contedodatabela"/>
              <w:jc w:val="center"/>
              <w:rPr>
                <w:b/>
                <w:bCs/>
                <w:sz w:val="22"/>
                <w:szCs w:val="22"/>
              </w:rPr>
            </w:pPr>
            <w:r w:rsidRPr="0086046A">
              <w:rPr>
                <w:b/>
                <w:bCs/>
                <w:sz w:val="22"/>
                <w:szCs w:val="22"/>
              </w:rPr>
              <w:t>Dotação</w:t>
            </w:r>
          </w:p>
        </w:tc>
        <w:tc>
          <w:tcPr>
            <w:tcW w:w="3402" w:type="dxa"/>
            <w:tcBorders>
              <w:top w:val="single" w:sz="2" w:space="0" w:color="000000"/>
              <w:left w:val="single" w:sz="2" w:space="0" w:color="000000"/>
              <w:bottom w:val="single" w:sz="2" w:space="0" w:color="000000"/>
            </w:tcBorders>
          </w:tcPr>
          <w:p w:rsidR="00FE06C5" w:rsidRPr="0086046A" w:rsidRDefault="00D04CD9" w:rsidP="00692A9D">
            <w:pPr>
              <w:pStyle w:val="Contedodatabela"/>
              <w:jc w:val="center"/>
              <w:rPr>
                <w:b/>
                <w:bCs/>
                <w:sz w:val="22"/>
                <w:szCs w:val="22"/>
              </w:rPr>
            </w:pPr>
            <w:r w:rsidRPr="0086046A">
              <w:rPr>
                <w:b/>
                <w:bCs/>
                <w:sz w:val="22"/>
                <w:szCs w:val="22"/>
              </w:rPr>
              <w:t>Elemento</w:t>
            </w:r>
          </w:p>
        </w:tc>
        <w:tc>
          <w:tcPr>
            <w:tcW w:w="2978" w:type="dxa"/>
            <w:tcBorders>
              <w:top w:val="single" w:sz="2" w:space="0" w:color="000000"/>
              <w:left w:val="single" w:sz="2" w:space="0" w:color="000000"/>
              <w:bottom w:val="single" w:sz="2" w:space="0" w:color="000000"/>
              <w:right w:val="single" w:sz="2" w:space="0" w:color="000000"/>
            </w:tcBorders>
          </w:tcPr>
          <w:p w:rsidR="00FE06C5" w:rsidRPr="0086046A" w:rsidRDefault="00D04CD9" w:rsidP="00692A9D">
            <w:pPr>
              <w:pStyle w:val="Contedodatabela"/>
              <w:jc w:val="center"/>
              <w:rPr>
                <w:b/>
                <w:bCs/>
                <w:sz w:val="22"/>
                <w:szCs w:val="22"/>
              </w:rPr>
            </w:pPr>
            <w:r w:rsidRPr="0086046A">
              <w:rPr>
                <w:b/>
                <w:bCs/>
                <w:sz w:val="22"/>
                <w:szCs w:val="22"/>
              </w:rPr>
              <w:t>Vinculado</w:t>
            </w:r>
          </w:p>
        </w:tc>
      </w:tr>
      <w:tr w:rsidR="00FE06C5" w:rsidRPr="0086046A" w:rsidTr="00692A9D">
        <w:tc>
          <w:tcPr>
            <w:tcW w:w="3401" w:type="dxa"/>
            <w:tcBorders>
              <w:left w:val="single" w:sz="2" w:space="0" w:color="000000"/>
              <w:bottom w:val="single" w:sz="2" w:space="0" w:color="000000"/>
            </w:tcBorders>
          </w:tcPr>
          <w:p w:rsidR="00FE06C5" w:rsidRPr="0086046A" w:rsidRDefault="00D04CD9" w:rsidP="00692A9D">
            <w:pPr>
              <w:pStyle w:val="Contedodatabela"/>
              <w:jc w:val="center"/>
              <w:rPr>
                <w:sz w:val="22"/>
                <w:szCs w:val="22"/>
              </w:rPr>
            </w:pPr>
            <w:r w:rsidRPr="0086046A">
              <w:rPr>
                <w:sz w:val="22"/>
                <w:szCs w:val="22"/>
              </w:rPr>
              <w:t>3263</w:t>
            </w:r>
          </w:p>
        </w:tc>
        <w:tc>
          <w:tcPr>
            <w:tcW w:w="3402" w:type="dxa"/>
            <w:tcBorders>
              <w:left w:val="single" w:sz="2" w:space="0" w:color="000000"/>
              <w:bottom w:val="single" w:sz="2" w:space="0" w:color="000000"/>
            </w:tcBorders>
          </w:tcPr>
          <w:p w:rsidR="00FE06C5" w:rsidRPr="0086046A" w:rsidRDefault="00D04CD9" w:rsidP="00692A9D">
            <w:pPr>
              <w:pStyle w:val="Contedodatabela"/>
              <w:jc w:val="center"/>
              <w:rPr>
                <w:sz w:val="22"/>
                <w:szCs w:val="22"/>
              </w:rPr>
            </w:pPr>
            <w:r w:rsidRPr="0086046A">
              <w:rPr>
                <w:sz w:val="22"/>
                <w:szCs w:val="22"/>
              </w:rPr>
              <w:t>449051995900</w:t>
            </w:r>
          </w:p>
        </w:tc>
        <w:tc>
          <w:tcPr>
            <w:tcW w:w="2978" w:type="dxa"/>
            <w:tcBorders>
              <w:left w:val="single" w:sz="2" w:space="0" w:color="000000"/>
              <w:bottom w:val="single" w:sz="2" w:space="0" w:color="000000"/>
              <w:right w:val="single" w:sz="2" w:space="0" w:color="000000"/>
            </w:tcBorders>
          </w:tcPr>
          <w:p w:rsidR="00FE06C5" w:rsidRPr="0086046A" w:rsidRDefault="00D04CD9" w:rsidP="00692A9D">
            <w:pPr>
              <w:pStyle w:val="Contedodatabela"/>
              <w:jc w:val="center"/>
              <w:rPr>
                <w:sz w:val="22"/>
                <w:szCs w:val="22"/>
              </w:rPr>
            </w:pPr>
            <w:r w:rsidRPr="0086046A">
              <w:rPr>
                <w:sz w:val="22"/>
                <w:szCs w:val="22"/>
              </w:rPr>
              <w:t>1701</w:t>
            </w:r>
          </w:p>
        </w:tc>
      </w:tr>
    </w:tbl>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15.3. O pagamento será efetuado no prazo de máximo de 10 dias</w:t>
      </w:r>
      <w:r>
        <w:rPr>
          <w:rFonts w:ascii="Times New Roman" w:hAnsi="Times New Roman" w:cs="Times New Roman"/>
          <w:sz w:val="22"/>
          <w:szCs w:val="22"/>
        </w:rPr>
        <w:t xml:space="preserve"> após a prestação dos serviços.</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16. RECEBIMENTO DO OBJETO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16.1</w:t>
      </w:r>
      <w:r w:rsidRPr="0086046A">
        <w:rPr>
          <w:rFonts w:ascii="Times New Roman" w:hAnsi="Times New Roman" w:cs="Times New Roman"/>
          <w:sz w:val="22"/>
          <w:szCs w:val="22"/>
        </w:rPr>
        <w:t xml:space="preserve">. O </w:t>
      </w:r>
      <w:r>
        <w:rPr>
          <w:rFonts w:ascii="Times New Roman" w:hAnsi="Times New Roman" w:cs="Times New Roman"/>
          <w:sz w:val="22"/>
          <w:szCs w:val="22"/>
        </w:rPr>
        <w:t>serviços serão executados conforme a solicitação da Secretaria responsável que informara o local para entrega e execução do objeto.</w:t>
      </w:r>
      <w:r w:rsidR="001275FF">
        <w:rPr>
          <w:rFonts w:ascii="Times New Roman" w:hAnsi="Times New Roman" w:cs="Times New Roman"/>
          <w:sz w:val="22"/>
          <w:szCs w:val="22"/>
        </w:rPr>
        <w:t xml:space="preserve"> Conforme Estudo técnico.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16.2</w:t>
      </w:r>
      <w:r w:rsidRPr="0086046A">
        <w:rPr>
          <w:rFonts w:ascii="Times New Roman" w:hAnsi="Times New Roman" w:cs="Times New Roman"/>
          <w:sz w:val="22"/>
          <w:szCs w:val="22"/>
        </w:rPr>
        <w:t>. Verificada a desconformidade de algum dos produtos, a licitante vencedora deverá promover as correções necessárias no prazo máximo de 5 dias úteis, sujeitando-se às penalidades previstas neste edital.</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16.3</w:t>
      </w:r>
      <w:r w:rsidRPr="0086046A">
        <w:rPr>
          <w:rFonts w:ascii="Times New Roman" w:hAnsi="Times New Roman" w:cs="Times New Roman"/>
          <w:sz w:val="22"/>
          <w:szCs w:val="22"/>
        </w:rPr>
        <w:t>. A nota fiscal/fatura deverá, obrigatoriamente, ser entregue junto com o seu objeto.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17. SANÇÕES ADMINISTRATIVAS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17.1. O licitante ou o contratado será responsabilizado administrativamente pelas seguintes infrações: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dar causa à inexecução parcial do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dar causa à inexecução total do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deixar de entregar a documentação exigida para o certame;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 não manter a proposta, salvo em decorrência de fato superveniente devidamente justificado;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f) não celebrar o contrato ou não entregar a documentação exigida para a contratação, quando convocado dentro do prazo de validade de sua proposta;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g) ensejar o retardamento da execução ou da entrega do objeto da licitação sem motivo justificado;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i) fraudar a licitação ou praticar ato fraudulento na execução do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j) comportar-se de modo inidôneo ou cometer fraude de qualquer natureza;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k) praticar atos ilícitos com vistas a frustrar os objetivos da licitação;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l) praticar ato lesivo previsto no art. 5º da Lei nº 12.846, de 1º de agosto de 2013.</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17.2. Serão aplicadas ao responsável pelas infrações administrativas previstas no item 17.1 deste edital as seguintes sanções: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advertência;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multa de no mínimo 0,5% (cinco décimos por cento) e máximo de 30% (trinta por cento) do valor do objeto licitado ou contratado;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impedimento de licitar e contratar, no âmbito da Administração Pública direta e indireta do órgão licitante, pelo prazo máximo de 3 (três) anos.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17.10. Serão indeferidas pela comissão, mediante decisão fundamentada, provas ilícitas, impertinentes, desnecessárias, protelatórias ou intempestivas.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17.12. É admitida a reabilitação do licitante ou contratado perante a própria autoridade que aplicou a penalidade, exigidos, cumulativamente: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reparação integral do dano causado à Administração Pública;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pagamento da multa;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cumprimento das condições de reabilitação definidas no ato punitivo;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e) análise jurídica prévia, com posicionamento conclusivo quanto ao cumprimento dos requisitos definidos neste artigo.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D04CD9" w:rsidRPr="0086046A" w:rsidRDefault="00D04CD9"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18. PEDIDOS DE ESCLARECIMENTOS E IMPUGNAÇÕES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18.2. As respostas aos pedidos de esclarecimentos e às impugnações serão divulgadas pelo órgão licitante no seguinte endereço: www.viadutos.rs.gov.br.</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19. DAS DISPOSIÇÕES GERAIS: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19.2. Após a apresentação da proposta, não caberá desistência, salvo por motivo justo decorrente de fato superveniente e aceito pelo pregoeiro.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Viadutos, 09 de março de 2026</w:t>
      </w:r>
    </w:p>
    <w:p w:rsidR="00FE06C5" w:rsidRPr="0086046A" w:rsidRDefault="00FE06C5" w:rsidP="0086046A">
      <w:pPr>
        <w:pStyle w:val="Standard"/>
        <w:jc w:val="center"/>
        <w:rPr>
          <w:rFonts w:ascii="Times New Roman" w:hAnsi="Times New Roman" w:cs="Times New Roman"/>
          <w:sz w:val="22"/>
          <w:szCs w:val="22"/>
        </w:rPr>
      </w:pPr>
    </w:p>
    <w:p w:rsidR="00FE06C5" w:rsidRDefault="00FE06C5" w:rsidP="0086046A">
      <w:pPr>
        <w:pStyle w:val="Standard"/>
        <w:jc w:val="center"/>
        <w:rPr>
          <w:rFonts w:ascii="Times New Roman" w:hAnsi="Times New Roman" w:cs="Times New Roman"/>
          <w:sz w:val="22"/>
          <w:szCs w:val="22"/>
        </w:rPr>
      </w:pPr>
    </w:p>
    <w:p w:rsidR="00D04CD9" w:rsidRPr="0086046A" w:rsidRDefault="00D04CD9" w:rsidP="0086046A">
      <w:pPr>
        <w:pStyle w:val="Standard"/>
        <w:jc w:val="center"/>
        <w:rPr>
          <w:rFonts w:ascii="Times New Roman" w:hAnsi="Times New Roman" w:cs="Times New Roman"/>
          <w:sz w:val="22"/>
          <w:szCs w:val="22"/>
        </w:rPr>
      </w:pP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______________________</w:t>
      </w: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Giovan André Sperotto</w:t>
      </w: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Prefeito</w:t>
      </w:r>
      <w:r w:rsidRPr="0086046A">
        <w:rPr>
          <w:rFonts w:ascii="Times New Roman" w:hAnsi="Times New Roman" w:cs="Times New Roman"/>
          <w:sz w:val="22"/>
          <w:szCs w:val="22"/>
        </w:rPr>
        <w:br w:type="page"/>
      </w:r>
    </w:p>
    <w:p w:rsidR="00FE06C5" w:rsidRPr="0086046A" w:rsidRDefault="00D04CD9" w:rsidP="0086046A">
      <w:pPr>
        <w:pStyle w:val="Standard"/>
        <w:rPr>
          <w:rFonts w:ascii="Times New Roman" w:hAnsi="Times New Roman" w:cs="Times New Roman"/>
          <w:b/>
          <w:bCs/>
          <w:sz w:val="22"/>
          <w:szCs w:val="22"/>
        </w:rPr>
      </w:pPr>
      <w:r w:rsidRPr="0086046A">
        <w:rPr>
          <w:rFonts w:ascii="Times New Roman" w:hAnsi="Times New Roman" w:cs="Times New Roman"/>
          <w:b/>
          <w:bCs/>
          <w:sz w:val="22"/>
          <w:szCs w:val="22"/>
        </w:rPr>
        <w:t>TERMO DE CONTRATO Nº xxx/xx</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D04CD9">
      <w:pPr>
        <w:pStyle w:val="Standard"/>
        <w:ind w:left="2977"/>
        <w:jc w:val="both"/>
        <w:rPr>
          <w:rFonts w:ascii="Times New Roman" w:hAnsi="Times New Roman" w:cs="Times New Roman"/>
          <w:sz w:val="22"/>
          <w:szCs w:val="22"/>
        </w:rPr>
      </w:pPr>
      <w:r w:rsidRPr="0086046A">
        <w:rPr>
          <w:rFonts w:ascii="Times New Roman" w:hAnsi="Times New Roman" w:cs="Times New Roman"/>
          <w:sz w:val="22"/>
          <w:szCs w:val="22"/>
        </w:rPr>
        <w:t xml:space="preserve">CONTRATO ADMINISTRATIVO Nº XX/XXX PARA </w:t>
      </w:r>
      <w:r w:rsidRPr="0086046A">
        <w:rPr>
          <w:rFonts w:ascii="Times New Roman" w:hAnsi="Times New Roman" w:cs="Times New Roman"/>
          <w:b/>
          <w:bCs/>
          <w:sz w:val="22"/>
          <w:szCs w:val="22"/>
        </w:rPr>
        <w:t>Contratação de empresa especializada para execução de serviços de adequação construtiva, regularização e legalização de poços artesianos, com o objetivo de atendimento ao Programa Poço Legal</w:t>
      </w:r>
      <w:r w:rsidRPr="0086046A">
        <w:rPr>
          <w:rFonts w:ascii="Times New Roman" w:hAnsi="Times New Roman" w:cs="Times New Roman"/>
          <w:sz w:val="22"/>
          <w:szCs w:val="22"/>
        </w:rPr>
        <w:t>, QUE FIRMAM O MUNICÍPIO DE VIADUTOS E A EMPRESA XXXX.</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Aos 09/03/26, de um lado o</w:t>
      </w:r>
      <w:r w:rsidRPr="0086046A">
        <w:rPr>
          <w:rFonts w:ascii="Times New Roman" w:hAnsi="Times New Roman" w:cs="Times New Roman"/>
          <w:b/>
          <w:bCs/>
          <w:sz w:val="22"/>
          <w:szCs w:val="22"/>
        </w:rPr>
        <w:t xml:space="preserve"> Município de Viadutos</w:t>
      </w:r>
      <w:r w:rsidRPr="0086046A">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86046A">
        <w:rPr>
          <w:rFonts w:ascii="Times New Roman" w:hAnsi="Times New Roman" w:cs="Times New Roman"/>
          <w:b/>
          <w:bCs/>
          <w:sz w:val="22"/>
          <w:szCs w:val="22"/>
        </w:rPr>
        <w:t>CONTRATANTE</w:t>
      </w:r>
      <w:r w:rsidRPr="0086046A">
        <w:rPr>
          <w:rFonts w:ascii="Times New Roman" w:hAnsi="Times New Roman" w:cs="Times New Roman"/>
          <w:sz w:val="22"/>
          <w:szCs w:val="22"/>
        </w:rPr>
        <w:t>.</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b/>
          <w:bCs/>
          <w:sz w:val="22"/>
          <w:szCs w:val="22"/>
        </w:rPr>
        <w:t>CONTRATADO,</w:t>
      </w:r>
      <w:r w:rsidRPr="0086046A">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PRIMEIRA – DA FUNDAMENTAÇÃO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O presente instrumento é fundamentado no procedimento realizado pela CONTRATANTE através do Pregão</w:t>
      </w:r>
      <w:r w:rsidRPr="0086046A">
        <w:rPr>
          <w:rFonts w:ascii="Times New Roman" w:hAnsi="Times New Roman" w:cs="Times New Roman"/>
          <w:b/>
          <w:bCs/>
          <w:sz w:val="22"/>
          <w:szCs w:val="22"/>
        </w:rPr>
        <w:t xml:space="preserve"> Nº 7/2026, Processo nº 108/2026</w:t>
      </w:r>
      <w:r w:rsidRPr="0086046A">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SEGUNDA – DO OBJETO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O presente contrato tem por objeto</w:t>
      </w:r>
      <w:r>
        <w:rPr>
          <w:rFonts w:ascii="Times New Roman" w:hAnsi="Times New Roman" w:cs="Times New Roman"/>
          <w:sz w:val="22"/>
          <w:szCs w:val="22"/>
        </w:rPr>
        <w:t xml:space="preserve"> a</w:t>
      </w:r>
      <w:r w:rsidRPr="0086046A">
        <w:rPr>
          <w:rFonts w:ascii="Times New Roman" w:hAnsi="Times New Roman" w:cs="Times New Roman"/>
          <w:sz w:val="22"/>
          <w:szCs w:val="22"/>
        </w:rPr>
        <w:t xml:space="preserve"> </w:t>
      </w:r>
      <w:r w:rsidRPr="0086046A">
        <w:rPr>
          <w:rFonts w:ascii="Times New Roman" w:hAnsi="Times New Roman" w:cs="Times New Roman"/>
          <w:b/>
          <w:bCs/>
          <w:sz w:val="22"/>
          <w:szCs w:val="22"/>
        </w:rPr>
        <w:t>Contratação de empresa especializada para execução de serviços de adequação construtiva, regularização e legalização de poços artesianos, com o objetivo de atendimento ao Programa Poço Legal</w:t>
      </w:r>
      <w:r w:rsidRPr="0086046A">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9"/>
        <w:gridCol w:w="709"/>
        <w:gridCol w:w="3544"/>
        <w:gridCol w:w="1275"/>
        <w:gridCol w:w="993"/>
        <w:gridCol w:w="1275"/>
        <w:gridCol w:w="1276"/>
      </w:tblGrid>
      <w:tr w:rsidR="00D04CD9" w:rsidRPr="0086046A" w:rsidTr="00692A9D">
        <w:tc>
          <w:tcPr>
            <w:tcW w:w="709" w:type="dxa"/>
          </w:tcPr>
          <w:p w:rsidR="00D04CD9" w:rsidRPr="0086046A" w:rsidRDefault="00D04CD9" w:rsidP="000B55E1">
            <w:pPr>
              <w:pStyle w:val="Contedodatabela"/>
              <w:jc w:val="center"/>
              <w:rPr>
                <w:b/>
                <w:sz w:val="22"/>
                <w:szCs w:val="22"/>
              </w:rPr>
            </w:pPr>
            <w:r w:rsidRPr="0086046A">
              <w:rPr>
                <w:b/>
                <w:sz w:val="22"/>
                <w:szCs w:val="22"/>
              </w:rPr>
              <w:t>Lote</w:t>
            </w:r>
          </w:p>
        </w:tc>
        <w:tc>
          <w:tcPr>
            <w:tcW w:w="709" w:type="dxa"/>
          </w:tcPr>
          <w:p w:rsidR="00D04CD9" w:rsidRPr="0086046A" w:rsidRDefault="00D04CD9" w:rsidP="000B55E1">
            <w:pPr>
              <w:pStyle w:val="Contedodatabela"/>
              <w:jc w:val="center"/>
              <w:rPr>
                <w:b/>
                <w:sz w:val="22"/>
                <w:szCs w:val="22"/>
              </w:rPr>
            </w:pPr>
            <w:r w:rsidRPr="0086046A">
              <w:rPr>
                <w:b/>
                <w:sz w:val="22"/>
                <w:szCs w:val="22"/>
              </w:rPr>
              <w:t>Item</w:t>
            </w:r>
          </w:p>
        </w:tc>
        <w:tc>
          <w:tcPr>
            <w:tcW w:w="3544" w:type="dxa"/>
          </w:tcPr>
          <w:p w:rsidR="00D04CD9" w:rsidRPr="0086046A" w:rsidRDefault="00D04CD9" w:rsidP="000B55E1">
            <w:pPr>
              <w:pStyle w:val="Contedodatabela"/>
              <w:jc w:val="center"/>
              <w:rPr>
                <w:b/>
                <w:sz w:val="22"/>
                <w:szCs w:val="22"/>
              </w:rPr>
            </w:pPr>
            <w:r w:rsidRPr="0086046A">
              <w:rPr>
                <w:b/>
                <w:sz w:val="22"/>
                <w:szCs w:val="22"/>
              </w:rPr>
              <w:t>Descrição</w:t>
            </w:r>
          </w:p>
        </w:tc>
        <w:tc>
          <w:tcPr>
            <w:tcW w:w="1275" w:type="dxa"/>
          </w:tcPr>
          <w:p w:rsidR="00D04CD9" w:rsidRPr="0086046A" w:rsidRDefault="00D04CD9" w:rsidP="000B55E1">
            <w:pPr>
              <w:pStyle w:val="Contedodatabela"/>
              <w:jc w:val="center"/>
              <w:rPr>
                <w:b/>
                <w:sz w:val="22"/>
                <w:szCs w:val="22"/>
              </w:rPr>
            </w:pPr>
            <w:r w:rsidRPr="0086046A">
              <w:rPr>
                <w:b/>
                <w:sz w:val="22"/>
                <w:szCs w:val="22"/>
              </w:rPr>
              <w:t>Quantidade</w:t>
            </w:r>
          </w:p>
        </w:tc>
        <w:tc>
          <w:tcPr>
            <w:tcW w:w="993" w:type="dxa"/>
          </w:tcPr>
          <w:p w:rsidR="00D04CD9" w:rsidRPr="0086046A" w:rsidRDefault="00D04CD9" w:rsidP="000B55E1">
            <w:pPr>
              <w:pStyle w:val="Contedodatabela"/>
              <w:jc w:val="center"/>
              <w:rPr>
                <w:b/>
                <w:sz w:val="22"/>
                <w:szCs w:val="22"/>
              </w:rPr>
            </w:pPr>
            <w:r w:rsidRPr="0086046A">
              <w:rPr>
                <w:b/>
                <w:sz w:val="22"/>
                <w:szCs w:val="22"/>
              </w:rPr>
              <w:t>Unidade</w:t>
            </w:r>
          </w:p>
        </w:tc>
        <w:tc>
          <w:tcPr>
            <w:tcW w:w="1275" w:type="dxa"/>
          </w:tcPr>
          <w:p w:rsidR="00D04CD9" w:rsidRPr="0086046A" w:rsidRDefault="00D04CD9" w:rsidP="000B55E1">
            <w:pPr>
              <w:pStyle w:val="Contedodatabela"/>
              <w:jc w:val="center"/>
              <w:rPr>
                <w:b/>
                <w:sz w:val="22"/>
                <w:szCs w:val="22"/>
              </w:rPr>
            </w:pPr>
            <w:r w:rsidRPr="0086046A">
              <w:rPr>
                <w:b/>
                <w:sz w:val="22"/>
                <w:szCs w:val="22"/>
              </w:rPr>
              <w:t>Unitário</w:t>
            </w:r>
          </w:p>
        </w:tc>
        <w:tc>
          <w:tcPr>
            <w:tcW w:w="1276" w:type="dxa"/>
          </w:tcPr>
          <w:p w:rsidR="00D04CD9" w:rsidRPr="0086046A" w:rsidRDefault="00D04CD9" w:rsidP="000B55E1">
            <w:pPr>
              <w:pStyle w:val="Contedodatabela"/>
              <w:jc w:val="center"/>
              <w:rPr>
                <w:b/>
                <w:sz w:val="22"/>
                <w:szCs w:val="22"/>
              </w:rPr>
            </w:pPr>
            <w:r w:rsidRPr="0086046A">
              <w:rPr>
                <w:b/>
                <w:sz w:val="22"/>
                <w:szCs w:val="22"/>
              </w:rPr>
              <w:t>Total</w:t>
            </w: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3544" w:type="dxa"/>
          </w:tcPr>
          <w:p w:rsidR="00D04CD9" w:rsidRPr="0086046A" w:rsidRDefault="00D04CD9" w:rsidP="000B55E1">
            <w:pPr>
              <w:pStyle w:val="Contedodatabela"/>
              <w:jc w:val="both"/>
              <w:rPr>
                <w:sz w:val="22"/>
                <w:szCs w:val="22"/>
              </w:rPr>
            </w:pPr>
            <w:r w:rsidRPr="0086046A">
              <w:rPr>
                <w:sz w:val="22"/>
                <w:szCs w:val="22"/>
              </w:rPr>
              <w:t>Retirada e reinstalação de moto bomba</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2</w:t>
            </w:r>
          </w:p>
        </w:tc>
        <w:tc>
          <w:tcPr>
            <w:tcW w:w="3544" w:type="dxa"/>
          </w:tcPr>
          <w:p w:rsidR="00D04CD9" w:rsidRPr="0086046A" w:rsidRDefault="00D04CD9" w:rsidP="000B55E1">
            <w:pPr>
              <w:pStyle w:val="Contedodatabela"/>
              <w:jc w:val="both"/>
              <w:rPr>
                <w:sz w:val="22"/>
                <w:szCs w:val="22"/>
              </w:rPr>
            </w:pPr>
            <w:r w:rsidRPr="0086046A">
              <w:rPr>
                <w:sz w:val="22"/>
                <w:szCs w:val="22"/>
              </w:rPr>
              <w:t>Tubo de monitoramento (inspeção), tubo PVC, diâmetro 25mm.</w:t>
            </w:r>
          </w:p>
        </w:tc>
        <w:tc>
          <w:tcPr>
            <w:tcW w:w="1275" w:type="dxa"/>
          </w:tcPr>
          <w:p w:rsidR="00D04CD9" w:rsidRPr="0086046A" w:rsidRDefault="00D04CD9" w:rsidP="000B55E1">
            <w:pPr>
              <w:pStyle w:val="Contedodatabela"/>
              <w:jc w:val="center"/>
              <w:rPr>
                <w:sz w:val="22"/>
                <w:szCs w:val="22"/>
              </w:rPr>
            </w:pPr>
            <w:r w:rsidRPr="0086046A">
              <w:rPr>
                <w:sz w:val="22"/>
                <w:szCs w:val="22"/>
              </w:rPr>
              <w:t>3.000,0</w:t>
            </w:r>
          </w:p>
        </w:tc>
        <w:tc>
          <w:tcPr>
            <w:tcW w:w="993" w:type="dxa"/>
          </w:tcPr>
          <w:p w:rsidR="00D04CD9" w:rsidRPr="0086046A" w:rsidRDefault="00D04CD9" w:rsidP="000B55E1">
            <w:pPr>
              <w:pStyle w:val="Contedodatabela"/>
              <w:jc w:val="center"/>
              <w:rPr>
                <w:sz w:val="22"/>
                <w:szCs w:val="22"/>
              </w:rPr>
            </w:pPr>
            <w:r w:rsidRPr="0086046A">
              <w:rPr>
                <w:sz w:val="22"/>
                <w:szCs w:val="22"/>
              </w:rPr>
              <w:t>M</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3</w:t>
            </w:r>
          </w:p>
        </w:tc>
        <w:tc>
          <w:tcPr>
            <w:tcW w:w="3544" w:type="dxa"/>
          </w:tcPr>
          <w:p w:rsidR="00D04CD9" w:rsidRPr="0086046A" w:rsidRDefault="00D04CD9" w:rsidP="000B55E1">
            <w:pPr>
              <w:pStyle w:val="Contedodatabela"/>
              <w:jc w:val="both"/>
              <w:rPr>
                <w:sz w:val="22"/>
                <w:szCs w:val="22"/>
              </w:rPr>
            </w:pPr>
            <w:r w:rsidRPr="0086046A">
              <w:rPr>
                <w:sz w:val="22"/>
                <w:szCs w:val="22"/>
              </w:rPr>
              <w:t>Tampa do poço, em ferro fundido diâmetro de 6 e furação observando-se a tubulação existente em cada poço, conforme modelo anexo</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4</w:t>
            </w:r>
          </w:p>
        </w:tc>
        <w:tc>
          <w:tcPr>
            <w:tcW w:w="3544" w:type="dxa"/>
          </w:tcPr>
          <w:p w:rsidR="00D04CD9" w:rsidRPr="0086046A" w:rsidRDefault="00D04CD9" w:rsidP="000B55E1">
            <w:pPr>
              <w:pStyle w:val="Contedodatabela"/>
              <w:jc w:val="both"/>
              <w:rPr>
                <w:sz w:val="22"/>
                <w:szCs w:val="22"/>
              </w:rPr>
            </w:pPr>
            <w:r w:rsidRPr="0086046A">
              <w:rPr>
                <w:sz w:val="22"/>
                <w:szCs w:val="22"/>
              </w:rPr>
              <w:t>Teste de vazão 24 horas</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5</w:t>
            </w:r>
          </w:p>
        </w:tc>
        <w:tc>
          <w:tcPr>
            <w:tcW w:w="3544" w:type="dxa"/>
          </w:tcPr>
          <w:p w:rsidR="00D04CD9" w:rsidRPr="0086046A" w:rsidRDefault="00D04CD9" w:rsidP="000B55E1">
            <w:pPr>
              <w:pStyle w:val="Contedodatabela"/>
              <w:jc w:val="both"/>
              <w:rPr>
                <w:sz w:val="22"/>
                <w:szCs w:val="22"/>
              </w:rPr>
            </w:pPr>
            <w:r w:rsidRPr="0086046A">
              <w:rPr>
                <w:sz w:val="22"/>
                <w:szCs w:val="22"/>
              </w:rPr>
              <w:t>Análises físico, químico e bacteriológica</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6</w:t>
            </w:r>
          </w:p>
        </w:tc>
        <w:tc>
          <w:tcPr>
            <w:tcW w:w="3544" w:type="dxa"/>
          </w:tcPr>
          <w:p w:rsidR="00D04CD9" w:rsidRPr="0086046A" w:rsidRDefault="00D04CD9" w:rsidP="000B55E1">
            <w:pPr>
              <w:pStyle w:val="Contedodatabela"/>
              <w:jc w:val="both"/>
              <w:rPr>
                <w:sz w:val="22"/>
                <w:szCs w:val="22"/>
              </w:rPr>
            </w:pPr>
            <w:r w:rsidRPr="0086046A">
              <w:rPr>
                <w:sz w:val="22"/>
                <w:szCs w:val="22"/>
              </w:rPr>
              <w:t>Hidrômetro multijato 10m³/h para controle de volume compatível com vazão de água</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066796" w:rsidRPr="0086046A" w:rsidTr="00692A9D">
        <w:tc>
          <w:tcPr>
            <w:tcW w:w="709" w:type="dxa"/>
          </w:tcPr>
          <w:p w:rsidR="00066796" w:rsidRPr="0086046A" w:rsidRDefault="00066796" w:rsidP="000B55E1">
            <w:pPr>
              <w:pStyle w:val="Contedodatabela"/>
              <w:jc w:val="center"/>
              <w:rPr>
                <w:sz w:val="22"/>
                <w:szCs w:val="22"/>
              </w:rPr>
            </w:pPr>
          </w:p>
        </w:tc>
        <w:tc>
          <w:tcPr>
            <w:tcW w:w="709" w:type="dxa"/>
          </w:tcPr>
          <w:p w:rsidR="00066796" w:rsidRPr="0086046A" w:rsidRDefault="00066796" w:rsidP="000B55E1">
            <w:pPr>
              <w:pStyle w:val="Contedodatabela"/>
              <w:jc w:val="center"/>
              <w:rPr>
                <w:sz w:val="22"/>
                <w:szCs w:val="22"/>
              </w:rPr>
            </w:pPr>
          </w:p>
        </w:tc>
        <w:tc>
          <w:tcPr>
            <w:tcW w:w="3544" w:type="dxa"/>
          </w:tcPr>
          <w:p w:rsidR="00066796" w:rsidRPr="0086046A" w:rsidRDefault="00066796" w:rsidP="000B55E1">
            <w:pPr>
              <w:pStyle w:val="Contedodatabela"/>
              <w:jc w:val="both"/>
              <w:rPr>
                <w:sz w:val="22"/>
                <w:szCs w:val="22"/>
              </w:rPr>
            </w:pPr>
          </w:p>
        </w:tc>
        <w:tc>
          <w:tcPr>
            <w:tcW w:w="1275" w:type="dxa"/>
          </w:tcPr>
          <w:p w:rsidR="00066796" w:rsidRPr="0086046A" w:rsidRDefault="00066796" w:rsidP="000B55E1">
            <w:pPr>
              <w:pStyle w:val="Contedodatabela"/>
              <w:jc w:val="center"/>
              <w:rPr>
                <w:sz w:val="22"/>
                <w:szCs w:val="22"/>
              </w:rPr>
            </w:pPr>
          </w:p>
        </w:tc>
        <w:tc>
          <w:tcPr>
            <w:tcW w:w="993" w:type="dxa"/>
          </w:tcPr>
          <w:p w:rsidR="00066796" w:rsidRPr="0086046A" w:rsidRDefault="00066796" w:rsidP="000B55E1">
            <w:pPr>
              <w:pStyle w:val="Contedodatabela"/>
              <w:jc w:val="center"/>
              <w:rPr>
                <w:sz w:val="22"/>
                <w:szCs w:val="22"/>
              </w:rPr>
            </w:pPr>
          </w:p>
        </w:tc>
        <w:tc>
          <w:tcPr>
            <w:tcW w:w="1275" w:type="dxa"/>
          </w:tcPr>
          <w:p w:rsidR="00066796" w:rsidRPr="0086046A" w:rsidRDefault="00066796" w:rsidP="000B55E1">
            <w:pPr>
              <w:pStyle w:val="Contedodatabela"/>
              <w:jc w:val="right"/>
              <w:rPr>
                <w:sz w:val="22"/>
                <w:szCs w:val="22"/>
              </w:rPr>
            </w:pPr>
          </w:p>
        </w:tc>
        <w:tc>
          <w:tcPr>
            <w:tcW w:w="1276" w:type="dxa"/>
          </w:tcPr>
          <w:p w:rsidR="00066796" w:rsidRPr="0086046A" w:rsidRDefault="00066796"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7</w:t>
            </w:r>
          </w:p>
        </w:tc>
        <w:tc>
          <w:tcPr>
            <w:tcW w:w="3544" w:type="dxa"/>
          </w:tcPr>
          <w:p w:rsidR="00D04CD9" w:rsidRPr="0086046A" w:rsidRDefault="00D04CD9" w:rsidP="000B55E1">
            <w:pPr>
              <w:pStyle w:val="Contedodatabela"/>
              <w:jc w:val="both"/>
              <w:rPr>
                <w:sz w:val="22"/>
                <w:szCs w:val="22"/>
              </w:rPr>
            </w:pPr>
            <w:r w:rsidRPr="0086046A">
              <w:rPr>
                <w:sz w:val="22"/>
                <w:szCs w:val="22"/>
              </w:rPr>
              <w:t>Cercado 2x2x1,5 conforme anexo</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8</w:t>
            </w:r>
          </w:p>
        </w:tc>
        <w:tc>
          <w:tcPr>
            <w:tcW w:w="3544" w:type="dxa"/>
          </w:tcPr>
          <w:p w:rsidR="00D04CD9" w:rsidRPr="0086046A" w:rsidRDefault="00D04CD9" w:rsidP="000B55E1">
            <w:pPr>
              <w:pStyle w:val="Contedodatabela"/>
              <w:jc w:val="both"/>
              <w:rPr>
                <w:sz w:val="22"/>
                <w:szCs w:val="22"/>
              </w:rPr>
            </w:pPr>
            <w:r w:rsidRPr="0086046A">
              <w:rPr>
                <w:sz w:val="22"/>
                <w:szCs w:val="22"/>
              </w:rPr>
              <w:t xml:space="preserve">Laje de proteção sanitária de concreto, com área mínima de 1 m² e 10 cm de espessura, concêntrica ao tubo de revestimento e com declividade para as bordas, topo do revestimento saliente no mínimo 30 cm da laje de proteção. </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9</w:t>
            </w:r>
          </w:p>
        </w:tc>
        <w:tc>
          <w:tcPr>
            <w:tcW w:w="3544" w:type="dxa"/>
          </w:tcPr>
          <w:p w:rsidR="00D04CD9" w:rsidRPr="0086046A" w:rsidRDefault="00D04CD9" w:rsidP="000B55E1">
            <w:pPr>
              <w:pStyle w:val="Contedodatabela"/>
              <w:jc w:val="both"/>
              <w:rPr>
                <w:sz w:val="22"/>
                <w:szCs w:val="22"/>
              </w:rPr>
            </w:pPr>
            <w:r w:rsidRPr="0086046A">
              <w:rPr>
                <w:sz w:val="22"/>
                <w:szCs w:val="22"/>
              </w:rPr>
              <w:t>Adequação de altura do poço</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r w:rsidRPr="0086046A">
              <w:rPr>
                <w:sz w:val="22"/>
                <w:szCs w:val="22"/>
              </w:rPr>
              <w:t>1</w:t>
            </w:r>
          </w:p>
        </w:tc>
        <w:tc>
          <w:tcPr>
            <w:tcW w:w="709" w:type="dxa"/>
          </w:tcPr>
          <w:p w:rsidR="00D04CD9" w:rsidRPr="0086046A" w:rsidRDefault="00D04CD9" w:rsidP="000B55E1">
            <w:pPr>
              <w:pStyle w:val="Contedodatabela"/>
              <w:jc w:val="center"/>
              <w:rPr>
                <w:sz w:val="22"/>
                <w:szCs w:val="22"/>
              </w:rPr>
            </w:pPr>
            <w:r w:rsidRPr="0086046A">
              <w:rPr>
                <w:sz w:val="22"/>
                <w:szCs w:val="22"/>
              </w:rPr>
              <w:t>10</w:t>
            </w:r>
          </w:p>
        </w:tc>
        <w:tc>
          <w:tcPr>
            <w:tcW w:w="3544" w:type="dxa"/>
          </w:tcPr>
          <w:p w:rsidR="00D04CD9" w:rsidRPr="0086046A" w:rsidRDefault="00D04CD9" w:rsidP="000B55E1">
            <w:pPr>
              <w:pStyle w:val="Contedodatabela"/>
              <w:jc w:val="both"/>
              <w:rPr>
                <w:sz w:val="22"/>
                <w:szCs w:val="22"/>
              </w:rPr>
            </w:pPr>
            <w:r w:rsidRPr="0086046A">
              <w:rPr>
                <w:sz w:val="22"/>
                <w:szCs w:val="22"/>
              </w:rPr>
              <w:t>Encaminhamento e acompanhamento do processo da outorga (projeto, ART e demais tramites/documentos) junto ao SIOUT SEMA</w:t>
            </w:r>
          </w:p>
        </w:tc>
        <w:tc>
          <w:tcPr>
            <w:tcW w:w="1275" w:type="dxa"/>
          </w:tcPr>
          <w:p w:rsidR="00D04CD9" w:rsidRPr="0086046A" w:rsidRDefault="00D04CD9" w:rsidP="000B55E1">
            <w:pPr>
              <w:pStyle w:val="Contedodatabela"/>
              <w:jc w:val="center"/>
              <w:rPr>
                <w:sz w:val="22"/>
                <w:szCs w:val="22"/>
              </w:rPr>
            </w:pPr>
            <w:r w:rsidRPr="0086046A">
              <w:rPr>
                <w:sz w:val="22"/>
                <w:szCs w:val="22"/>
              </w:rPr>
              <w:t>20,0</w:t>
            </w:r>
          </w:p>
        </w:tc>
        <w:tc>
          <w:tcPr>
            <w:tcW w:w="993" w:type="dxa"/>
          </w:tcPr>
          <w:p w:rsidR="00D04CD9" w:rsidRPr="0086046A" w:rsidRDefault="00D04CD9" w:rsidP="000B55E1">
            <w:pPr>
              <w:pStyle w:val="Contedodatabela"/>
              <w:jc w:val="center"/>
              <w:rPr>
                <w:sz w:val="22"/>
                <w:szCs w:val="22"/>
              </w:rPr>
            </w:pPr>
            <w:r w:rsidRPr="0086046A">
              <w:rPr>
                <w:sz w:val="22"/>
                <w:szCs w:val="22"/>
              </w:rPr>
              <w:t>Und</w:t>
            </w:r>
          </w:p>
        </w:tc>
        <w:tc>
          <w:tcPr>
            <w:tcW w:w="1275" w:type="dxa"/>
          </w:tcPr>
          <w:p w:rsidR="00D04CD9" w:rsidRPr="0086046A" w:rsidRDefault="00D04CD9" w:rsidP="000B55E1">
            <w:pPr>
              <w:pStyle w:val="Contedodatabela"/>
              <w:jc w:val="right"/>
              <w:rPr>
                <w:sz w:val="22"/>
                <w:szCs w:val="22"/>
              </w:rPr>
            </w:pPr>
          </w:p>
        </w:tc>
        <w:tc>
          <w:tcPr>
            <w:tcW w:w="1276" w:type="dxa"/>
          </w:tcPr>
          <w:p w:rsidR="00D04CD9" w:rsidRPr="0086046A" w:rsidRDefault="00D04CD9" w:rsidP="000B55E1">
            <w:pPr>
              <w:pStyle w:val="Contedodatabela"/>
              <w:jc w:val="right"/>
              <w:rPr>
                <w:sz w:val="22"/>
                <w:szCs w:val="22"/>
              </w:rPr>
            </w:pPr>
          </w:p>
        </w:tc>
      </w:tr>
      <w:tr w:rsidR="00D04CD9" w:rsidRPr="0086046A" w:rsidTr="00692A9D">
        <w:tc>
          <w:tcPr>
            <w:tcW w:w="709" w:type="dxa"/>
          </w:tcPr>
          <w:p w:rsidR="00D04CD9" w:rsidRPr="0086046A" w:rsidRDefault="00D04CD9" w:rsidP="000B55E1">
            <w:pPr>
              <w:pStyle w:val="Contedodatabela"/>
              <w:jc w:val="center"/>
              <w:rPr>
                <w:sz w:val="22"/>
                <w:szCs w:val="22"/>
              </w:rPr>
            </w:pPr>
          </w:p>
        </w:tc>
        <w:tc>
          <w:tcPr>
            <w:tcW w:w="709" w:type="dxa"/>
          </w:tcPr>
          <w:p w:rsidR="00D04CD9" w:rsidRPr="0086046A" w:rsidRDefault="00D04CD9" w:rsidP="000B55E1">
            <w:pPr>
              <w:pStyle w:val="Contedodatabela"/>
              <w:jc w:val="center"/>
              <w:rPr>
                <w:sz w:val="22"/>
                <w:szCs w:val="22"/>
              </w:rPr>
            </w:pPr>
          </w:p>
        </w:tc>
        <w:tc>
          <w:tcPr>
            <w:tcW w:w="3544" w:type="dxa"/>
          </w:tcPr>
          <w:p w:rsidR="00D04CD9" w:rsidRPr="0086046A" w:rsidRDefault="00D04CD9" w:rsidP="000B55E1">
            <w:pPr>
              <w:pStyle w:val="Contedodatabela"/>
              <w:jc w:val="both"/>
              <w:rPr>
                <w:sz w:val="22"/>
                <w:szCs w:val="22"/>
              </w:rPr>
            </w:pPr>
          </w:p>
        </w:tc>
        <w:tc>
          <w:tcPr>
            <w:tcW w:w="1275" w:type="dxa"/>
          </w:tcPr>
          <w:p w:rsidR="00D04CD9" w:rsidRPr="0086046A" w:rsidRDefault="00D04CD9" w:rsidP="000B55E1">
            <w:pPr>
              <w:pStyle w:val="Contedodatabela"/>
              <w:jc w:val="center"/>
              <w:rPr>
                <w:sz w:val="22"/>
                <w:szCs w:val="22"/>
              </w:rPr>
            </w:pPr>
          </w:p>
        </w:tc>
        <w:tc>
          <w:tcPr>
            <w:tcW w:w="993" w:type="dxa"/>
          </w:tcPr>
          <w:p w:rsidR="00D04CD9" w:rsidRPr="0086046A" w:rsidRDefault="00D04CD9" w:rsidP="000B55E1">
            <w:pPr>
              <w:pStyle w:val="Contedodatabela"/>
              <w:jc w:val="center"/>
              <w:rPr>
                <w:sz w:val="22"/>
                <w:szCs w:val="22"/>
              </w:rPr>
            </w:pPr>
          </w:p>
        </w:tc>
        <w:tc>
          <w:tcPr>
            <w:tcW w:w="1275" w:type="dxa"/>
          </w:tcPr>
          <w:p w:rsidR="00D04CD9" w:rsidRPr="0086046A" w:rsidRDefault="00D04CD9" w:rsidP="000B55E1">
            <w:pPr>
              <w:pStyle w:val="Contedodatabela"/>
              <w:jc w:val="center"/>
              <w:rPr>
                <w:b/>
                <w:sz w:val="22"/>
                <w:szCs w:val="22"/>
              </w:rPr>
            </w:pPr>
          </w:p>
        </w:tc>
        <w:tc>
          <w:tcPr>
            <w:tcW w:w="1276" w:type="dxa"/>
          </w:tcPr>
          <w:p w:rsidR="00D04CD9" w:rsidRPr="0086046A" w:rsidRDefault="00D04CD9" w:rsidP="000B55E1">
            <w:pPr>
              <w:pStyle w:val="Contedodatabela"/>
              <w:jc w:val="center"/>
              <w:rPr>
                <w:b/>
                <w:sz w:val="22"/>
                <w:szCs w:val="22"/>
              </w:rPr>
            </w:pPr>
          </w:p>
        </w:tc>
      </w:tr>
      <w:tr w:rsidR="00D04CD9" w:rsidRPr="0086046A" w:rsidTr="00692A9D">
        <w:tc>
          <w:tcPr>
            <w:tcW w:w="9781" w:type="dxa"/>
            <w:gridSpan w:val="7"/>
          </w:tcPr>
          <w:p w:rsidR="00D04CD9" w:rsidRPr="0086046A" w:rsidRDefault="00D04CD9" w:rsidP="000B55E1">
            <w:pPr>
              <w:pStyle w:val="Contedodatabela"/>
              <w:numPr>
                <w:ilvl w:val="0"/>
                <w:numId w:val="2"/>
              </w:numPr>
              <w:rPr>
                <w:b/>
                <w:sz w:val="22"/>
                <w:szCs w:val="22"/>
              </w:rPr>
            </w:pPr>
            <w:r w:rsidRPr="0086046A">
              <w:rPr>
                <w:b/>
                <w:sz w:val="22"/>
                <w:szCs w:val="22"/>
              </w:rPr>
              <w:t>Execução:</w:t>
            </w:r>
          </w:p>
          <w:p w:rsidR="00D04CD9" w:rsidRPr="0086046A" w:rsidRDefault="00D04CD9" w:rsidP="000B55E1">
            <w:pPr>
              <w:pStyle w:val="Contedodatabela"/>
              <w:numPr>
                <w:ilvl w:val="0"/>
                <w:numId w:val="4"/>
              </w:numPr>
              <w:ind w:left="1363" w:hanging="567"/>
              <w:rPr>
                <w:sz w:val="22"/>
                <w:szCs w:val="22"/>
              </w:rPr>
            </w:pPr>
            <w:r w:rsidRPr="0086046A">
              <w:rPr>
                <w:sz w:val="22"/>
                <w:szCs w:val="22"/>
              </w:rPr>
              <w:t>Teste de vazão, conforme as normas NBR 12.212/2017 e 12.244/ 2006;</w:t>
            </w:r>
          </w:p>
          <w:p w:rsidR="00D04CD9" w:rsidRPr="0086046A" w:rsidRDefault="00D04CD9" w:rsidP="000B55E1">
            <w:pPr>
              <w:pStyle w:val="Standard"/>
              <w:numPr>
                <w:ilvl w:val="0"/>
                <w:numId w:val="4"/>
              </w:numPr>
              <w:ind w:left="1363" w:hanging="567"/>
              <w:jc w:val="both"/>
              <w:rPr>
                <w:rFonts w:ascii="Times New Roman" w:hAnsi="Times New Roman" w:cs="Times New Roman"/>
                <w:sz w:val="22"/>
                <w:szCs w:val="22"/>
              </w:rPr>
            </w:pPr>
            <w:r w:rsidRPr="0086046A">
              <w:rPr>
                <w:rFonts w:ascii="Times New Roman" w:hAnsi="Times New Roman" w:cs="Times New Roman"/>
                <w:sz w:val="22"/>
                <w:szCs w:val="22"/>
              </w:rPr>
              <w:t xml:space="preserve">Análise físico-química e bacteriológica da água do poço, de acordo com as normas da ABNT, Portaria GM/MS Nº 888, de 4 de maio de 2021, do Ministério da Saúde e Portaria no 10/99, de 16 de agosto de 1999, da Secretaria da Saúde RS e padrão DRHS/SEMA (e.g. escolha dos parâmetros*) para Outorga de Direito de Uso da Água; </w:t>
            </w:r>
          </w:p>
          <w:p w:rsidR="00D04CD9" w:rsidRPr="0086046A" w:rsidRDefault="00D04CD9" w:rsidP="000B55E1">
            <w:pPr>
              <w:pStyle w:val="Contedodatabela"/>
              <w:ind w:left="1363"/>
              <w:rPr>
                <w:sz w:val="22"/>
                <w:szCs w:val="22"/>
              </w:rPr>
            </w:pPr>
          </w:p>
        </w:tc>
      </w:tr>
    </w:tbl>
    <w:p w:rsidR="00FE06C5" w:rsidRPr="0086046A" w:rsidRDefault="00FE06C5" w:rsidP="0086046A">
      <w:pPr>
        <w:jc w:val="both"/>
        <w:rPr>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TERCEIRA – DO PRAZO, FORMA E LOCAL DO FORNECIMENTO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 xml:space="preserve">O </w:t>
      </w:r>
      <w:r>
        <w:rPr>
          <w:rFonts w:ascii="Times New Roman" w:hAnsi="Times New Roman" w:cs="Times New Roman"/>
          <w:sz w:val="22"/>
          <w:szCs w:val="22"/>
        </w:rPr>
        <w:t>contrato terá vigência de 12 meses a partir da data de sua assinatura podendo ser renovado por igual período e reajustado por IPCA vigente.</w:t>
      </w:r>
    </w:p>
    <w:p w:rsidR="00D04CD9" w:rsidRDefault="00D04CD9"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QUARTA– DO PREÇO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O preço a ser pago pelo fornecimento do objeto do presente contrato é de R$ xxx (rxxx), conforme a proposta ofertada pela CONTRATADA.</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QUINTA – DO PAGAMENTO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 xml:space="preserve">O pagamento será efetuado em até </w:t>
      </w:r>
      <w:r>
        <w:rPr>
          <w:rFonts w:ascii="Times New Roman" w:hAnsi="Times New Roman" w:cs="Times New Roman"/>
          <w:sz w:val="22"/>
          <w:szCs w:val="22"/>
        </w:rPr>
        <w:t>1</w:t>
      </w:r>
      <w:r w:rsidRPr="0086046A">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SEXTA – DO RECURSO FINANCEIRO</w:t>
      </w:r>
    </w:p>
    <w:p w:rsidR="00FE06C5" w:rsidRPr="0086046A" w:rsidRDefault="00D04CD9" w:rsidP="0086046A">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86046A">
        <w:rPr>
          <w:rFonts w:ascii="Times New Roman" w:hAnsi="Times New Roman" w:cs="Times New Roman"/>
          <w:sz w:val="22"/>
          <w:szCs w:val="22"/>
        </w:rPr>
        <w:t>As despesas do presente contrato correrão à conta das dotações orçamentárias constantes no procedimento licitatório realizado.</w:t>
      </w:r>
    </w:p>
    <w:tbl>
      <w:tblPr>
        <w:tblW w:w="10205"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3402"/>
      </w:tblGrid>
      <w:tr w:rsidR="00FE06C5" w:rsidRPr="0086046A">
        <w:tc>
          <w:tcPr>
            <w:tcW w:w="3401" w:type="dxa"/>
            <w:tcBorders>
              <w:top w:val="single" w:sz="2" w:space="0" w:color="000000"/>
              <w:left w:val="single" w:sz="2" w:space="0" w:color="000000"/>
              <w:bottom w:val="single" w:sz="2" w:space="0" w:color="000000"/>
            </w:tcBorders>
          </w:tcPr>
          <w:p w:rsidR="00FE06C5" w:rsidRPr="0086046A" w:rsidRDefault="00D04CD9" w:rsidP="00066796">
            <w:pPr>
              <w:pStyle w:val="Contedodatabela"/>
              <w:jc w:val="center"/>
              <w:rPr>
                <w:b/>
                <w:bCs/>
                <w:sz w:val="22"/>
                <w:szCs w:val="22"/>
              </w:rPr>
            </w:pPr>
            <w:r w:rsidRPr="0086046A">
              <w:rPr>
                <w:b/>
                <w:bCs/>
                <w:sz w:val="22"/>
                <w:szCs w:val="22"/>
              </w:rPr>
              <w:t>Dotação</w:t>
            </w:r>
          </w:p>
        </w:tc>
        <w:tc>
          <w:tcPr>
            <w:tcW w:w="3402" w:type="dxa"/>
            <w:tcBorders>
              <w:top w:val="single" w:sz="2" w:space="0" w:color="000000"/>
              <w:left w:val="single" w:sz="2" w:space="0" w:color="000000"/>
              <w:bottom w:val="single" w:sz="2" w:space="0" w:color="000000"/>
            </w:tcBorders>
          </w:tcPr>
          <w:p w:rsidR="00FE06C5" w:rsidRPr="0086046A" w:rsidRDefault="00D04CD9" w:rsidP="00066796">
            <w:pPr>
              <w:pStyle w:val="Contedodatabela"/>
              <w:jc w:val="center"/>
              <w:rPr>
                <w:b/>
                <w:bCs/>
                <w:sz w:val="22"/>
                <w:szCs w:val="22"/>
              </w:rPr>
            </w:pPr>
            <w:r w:rsidRPr="0086046A">
              <w:rPr>
                <w:b/>
                <w:bCs/>
                <w:sz w:val="22"/>
                <w:szCs w:val="22"/>
              </w:rPr>
              <w:t>Elemento</w:t>
            </w:r>
          </w:p>
        </w:tc>
        <w:tc>
          <w:tcPr>
            <w:tcW w:w="3402" w:type="dxa"/>
            <w:tcBorders>
              <w:top w:val="single" w:sz="2" w:space="0" w:color="000000"/>
              <w:left w:val="single" w:sz="2" w:space="0" w:color="000000"/>
              <w:bottom w:val="single" w:sz="2" w:space="0" w:color="000000"/>
              <w:right w:val="single" w:sz="2" w:space="0" w:color="000000"/>
            </w:tcBorders>
          </w:tcPr>
          <w:p w:rsidR="00FE06C5" w:rsidRPr="0086046A" w:rsidRDefault="00D04CD9" w:rsidP="00066796">
            <w:pPr>
              <w:pStyle w:val="Contedodatabela"/>
              <w:jc w:val="center"/>
              <w:rPr>
                <w:b/>
                <w:bCs/>
                <w:sz w:val="22"/>
                <w:szCs w:val="22"/>
              </w:rPr>
            </w:pPr>
            <w:r w:rsidRPr="0086046A">
              <w:rPr>
                <w:b/>
                <w:bCs/>
                <w:sz w:val="22"/>
                <w:szCs w:val="22"/>
              </w:rPr>
              <w:t>Recurso Vinculado</w:t>
            </w:r>
          </w:p>
        </w:tc>
      </w:tr>
      <w:tr w:rsidR="00FE06C5" w:rsidRPr="0086046A">
        <w:tc>
          <w:tcPr>
            <w:tcW w:w="3401" w:type="dxa"/>
            <w:tcBorders>
              <w:left w:val="single" w:sz="2" w:space="0" w:color="000000"/>
              <w:bottom w:val="single" w:sz="2" w:space="0" w:color="000000"/>
            </w:tcBorders>
          </w:tcPr>
          <w:p w:rsidR="00FE06C5" w:rsidRPr="0086046A" w:rsidRDefault="00D04CD9" w:rsidP="00066796">
            <w:pPr>
              <w:pStyle w:val="Contedodatabela"/>
              <w:jc w:val="center"/>
              <w:rPr>
                <w:sz w:val="22"/>
                <w:szCs w:val="22"/>
              </w:rPr>
            </w:pPr>
            <w:r w:rsidRPr="0086046A">
              <w:rPr>
                <w:sz w:val="22"/>
                <w:szCs w:val="22"/>
              </w:rPr>
              <w:t>3263</w:t>
            </w:r>
          </w:p>
        </w:tc>
        <w:tc>
          <w:tcPr>
            <w:tcW w:w="3402" w:type="dxa"/>
            <w:tcBorders>
              <w:left w:val="single" w:sz="2" w:space="0" w:color="000000"/>
              <w:bottom w:val="single" w:sz="2" w:space="0" w:color="000000"/>
            </w:tcBorders>
          </w:tcPr>
          <w:p w:rsidR="00FE06C5" w:rsidRPr="0086046A" w:rsidRDefault="00D04CD9" w:rsidP="00066796">
            <w:pPr>
              <w:pStyle w:val="Contedodatabela"/>
              <w:jc w:val="center"/>
              <w:rPr>
                <w:sz w:val="22"/>
                <w:szCs w:val="22"/>
              </w:rPr>
            </w:pPr>
            <w:r w:rsidRPr="0086046A">
              <w:rPr>
                <w:sz w:val="22"/>
                <w:szCs w:val="22"/>
              </w:rPr>
              <w:t>449051995900</w:t>
            </w:r>
          </w:p>
        </w:tc>
        <w:tc>
          <w:tcPr>
            <w:tcW w:w="3402" w:type="dxa"/>
            <w:tcBorders>
              <w:left w:val="single" w:sz="2" w:space="0" w:color="000000"/>
              <w:bottom w:val="single" w:sz="2" w:space="0" w:color="000000"/>
              <w:right w:val="single" w:sz="2" w:space="0" w:color="000000"/>
            </w:tcBorders>
          </w:tcPr>
          <w:p w:rsidR="00FE06C5" w:rsidRPr="0086046A" w:rsidRDefault="00D04CD9" w:rsidP="00066796">
            <w:pPr>
              <w:pStyle w:val="Contedodatabela"/>
              <w:jc w:val="center"/>
              <w:rPr>
                <w:sz w:val="22"/>
                <w:szCs w:val="22"/>
              </w:rPr>
            </w:pPr>
            <w:r w:rsidRPr="0086046A">
              <w:rPr>
                <w:sz w:val="22"/>
                <w:szCs w:val="22"/>
              </w:rPr>
              <w:t>1701</w:t>
            </w:r>
          </w:p>
        </w:tc>
      </w:tr>
    </w:tbl>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SÉTIMA – DA RESPONSABILIDADE DO CONTRATANTE</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Caberá ao CONTRATANTE efetuar o pagamento pelo fornecimento do objeto do presente contrato de acordo com o estabelecido na cláusula quinta.</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OITAVA – DA RESPONSABILIDADE DA CONTRATADA</w:t>
      </w:r>
    </w:p>
    <w:p w:rsidR="00FE06C5" w:rsidRPr="00D5164C" w:rsidRDefault="00D04CD9" w:rsidP="0086046A">
      <w:pPr>
        <w:pStyle w:val="Standard"/>
        <w:jc w:val="both"/>
        <w:rPr>
          <w:rFonts w:ascii="Times New Roman" w:hAnsi="Times New Roman" w:cs="Times New Roman"/>
          <w:sz w:val="22"/>
          <w:szCs w:val="22"/>
        </w:rPr>
      </w:pPr>
      <w:r w:rsidRPr="00D5164C">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FE06C5" w:rsidRPr="00D5164C" w:rsidRDefault="00D04CD9" w:rsidP="0086046A">
      <w:pPr>
        <w:pStyle w:val="Standard"/>
        <w:jc w:val="both"/>
        <w:rPr>
          <w:rFonts w:ascii="Times New Roman" w:hAnsi="Times New Roman" w:cs="Times New Roman"/>
          <w:sz w:val="22"/>
          <w:szCs w:val="22"/>
        </w:rPr>
      </w:pPr>
      <w:r w:rsidRPr="00D5164C">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FE06C5" w:rsidRPr="00D5164C" w:rsidRDefault="00D04CD9" w:rsidP="0086046A">
      <w:pPr>
        <w:pStyle w:val="Standard"/>
        <w:jc w:val="both"/>
        <w:rPr>
          <w:rFonts w:ascii="Times New Roman" w:hAnsi="Times New Roman" w:cs="Times New Roman"/>
          <w:sz w:val="22"/>
          <w:szCs w:val="22"/>
        </w:rPr>
      </w:pPr>
      <w:r w:rsidRPr="00D5164C">
        <w:rPr>
          <w:rFonts w:ascii="Times New Roman" w:hAnsi="Times New Roman" w:cs="Times New Roman"/>
          <w:sz w:val="22"/>
          <w:szCs w:val="22"/>
        </w:rPr>
        <w:t>c) A CONTRATADA fica proibida de terceirizar o serviço da presente licitação;</w:t>
      </w:r>
    </w:p>
    <w:p w:rsidR="00D5164C" w:rsidRPr="00D5164C" w:rsidRDefault="00D5164C" w:rsidP="00D5164C">
      <w:pPr>
        <w:suppressAutoHyphens w:val="0"/>
        <w:overflowPunct/>
        <w:autoSpaceDN w:val="0"/>
        <w:adjustRightInd w:val="0"/>
        <w:textAlignment w:val="auto"/>
        <w:rPr>
          <w:rFonts w:eastAsia="NSimSun"/>
          <w:color w:val="000000"/>
          <w:sz w:val="22"/>
          <w:szCs w:val="22"/>
        </w:rPr>
      </w:pPr>
      <w:r w:rsidRPr="00D5164C">
        <w:rPr>
          <w:rFonts w:eastAsia="NSimSun"/>
          <w:color w:val="000000"/>
          <w:sz w:val="22"/>
          <w:szCs w:val="22"/>
        </w:rPr>
        <w:t xml:space="preserve">d) </w:t>
      </w:r>
      <w:r>
        <w:rPr>
          <w:rFonts w:eastAsia="NSimSun"/>
          <w:color w:val="000000"/>
          <w:sz w:val="22"/>
          <w:szCs w:val="22"/>
        </w:rPr>
        <w:t>A CONTRATADA fica obrigada a r</w:t>
      </w:r>
      <w:r w:rsidRPr="00D5164C">
        <w:rPr>
          <w:rFonts w:eastAsia="NSimSun"/>
          <w:color w:val="000000"/>
          <w:sz w:val="22"/>
          <w:szCs w:val="22"/>
        </w:rPr>
        <w:t xml:space="preserve">esponder por todos os ônus referentes aos materiais entregues e/ou serviços prestados, desde o transporte, embalagens, como também encargos trabalhistas, previdenciários, comerciais e salários de seus empregados; </w:t>
      </w:r>
    </w:p>
    <w:p w:rsidR="00FE06C5" w:rsidRPr="00D5164C" w:rsidRDefault="00D04CD9" w:rsidP="0086046A">
      <w:pPr>
        <w:pStyle w:val="Standard"/>
        <w:jc w:val="both"/>
        <w:rPr>
          <w:rFonts w:ascii="Times New Roman" w:hAnsi="Times New Roman" w:cs="Times New Roman"/>
          <w:sz w:val="22"/>
          <w:szCs w:val="22"/>
        </w:rPr>
      </w:pPr>
      <w:r w:rsidRPr="00D5164C">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66796" w:rsidRDefault="00066796"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NONA – DA GESTÃO DO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 execução do contrato deverá ser acompanhada e fiscalizada por XXXXX o ou por seu respectivo substituto.</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DÉCIMA – DAS PENALIDADES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CONTRATADA estará sujeita às seguintes penalidades, de conformidade ao item 17 do pregão que embasou o presente contrato: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a) advertência;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multa;</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c) impedimento de licitar e contratar, no âmbito da Administração Pública direta e indireta do órgão licitante, pelo prazo máximo de 3 (três) anos.</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FE06C5" w:rsidRPr="0086046A" w:rsidRDefault="00FE06C5" w:rsidP="0086046A">
      <w:pPr>
        <w:pStyle w:val="Standard"/>
        <w:jc w:val="both"/>
        <w:rPr>
          <w:rFonts w:ascii="Times New Roman" w:hAnsi="Times New Roman" w:cs="Times New Roman"/>
          <w:b/>
          <w:bCs/>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 xml:space="preserve">CLÁUSULA DÉCIMA PRIMEIRA – DA EXTINÇÃO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both"/>
        <w:rPr>
          <w:rFonts w:ascii="Times New Roman" w:hAnsi="Times New Roman" w:cs="Times New Roman"/>
          <w:b/>
          <w:bCs/>
          <w:sz w:val="22"/>
          <w:szCs w:val="22"/>
        </w:rPr>
      </w:pPr>
      <w:r w:rsidRPr="0086046A">
        <w:rPr>
          <w:rFonts w:ascii="Times New Roman" w:hAnsi="Times New Roman" w:cs="Times New Roman"/>
          <w:b/>
          <w:bCs/>
          <w:sz w:val="22"/>
          <w:szCs w:val="22"/>
        </w:rPr>
        <w:t>CLÁUSULA DÉCIMA SEGUNDA – DO FORO</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 xml:space="preserve">a) As partes elegem o foro da Comarca de Gaurama para dirimir quaisquer questões relacionadas ao presente contrato. </w:t>
      </w:r>
    </w:p>
    <w:p w:rsidR="00FE06C5" w:rsidRPr="0086046A" w:rsidRDefault="00D04CD9" w:rsidP="0086046A">
      <w:pPr>
        <w:pStyle w:val="Standard"/>
        <w:jc w:val="both"/>
        <w:rPr>
          <w:rFonts w:ascii="Times New Roman" w:hAnsi="Times New Roman" w:cs="Times New Roman"/>
          <w:sz w:val="22"/>
          <w:szCs w:val="22"/>
        </w:rPr>
      </w:pPr>
      <w:r w:rsidRPr="0086046A">
        <w:rPr>
          <w:rFonts w:ascii="Times New Roman" w:hAnsi="Times New Roman" w:cs="Times New Roman"/>
          <w:sz w:val="22"/>
          <w:szCs w:val="22"/>
        </w:rPr>
        <w:t>b) E, por estarem justos e contratados, firmam o presente instrumento em 02 (duas) vias de igual teor e forma.</w:t>
      </w:r>
    </w:p>
    <w:p w:rsidR="00FE06C5" w:rsidRPr="0086046A" w:rsidRDefault="00FE06C5" w:rsidP="0086046A">
      <w:pPr>
        <w:pStyle w:val="Standard"/>
        <w:jc w:val="both"/>
        <w:rPr>
          <w:rFonts w:ascii="Times New Roman" w:hAnsi="Times New Roman" w:cs="Times New Roman"/>
          <w:sz w:val="22"/>
          <w:szCs w:val="22"/>
        </w:rPr>
      </w:pP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 xml:space="preserve">Viadutos – RS, xx de xxx de </w:t>
      </w:r>
      <w:r w:rsidRPr="0086046A">
        <w:rPr>
          <w:rFonts w:ascii="Times New Roman" w:hAnsi="Times New Roman" w:cs="Times New Roman"/>
          <w:b/>
          <w:bCs/>
          <w:sz w:val="22"/>
          <w:szCs w:val="22"/>
        </w:rPr>
        <w:t>2026</w:t>
      </w:r>
    </w:p>
    <w:p w:rsidR="00FE06C5" w:rsidRPr="0086046A" w:rsidRDefault="00FE06C5" w:rsidP="0086046A">
      <w:pPr>
        <w:pStyle w:val="Standard"/>
        <w:jc w:val="center"/>
        <w:rPr>
          <w:rFonts w:ascii="Times New Roman" w:hAnsi="Times New Roman" w:cs="Times New Roman"/>
          <w:sz w:val="22"/>
          <w:szCs w:val="22"/>
        </w:rPr>
      </w:pP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______________________</w:t>
      </w: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xxxxx</w:t>
      </w:r>
    </w:p>
    <w:p w:rsidR="00FE06C5" w:rsidRPr="0086046A" w:rsidRDefault="00D04CD9" w:rsidP="0086046A">
      <w:pPr>
        <w:pStyle w:val="Standard"/>
        <w:jc w:val="center"/>
        <w:rPr>
          <w:rFonts w:ascii="Times New Roman" w:hAnsi="Times New Roman" w:cs="Times New Roman"/>
          <w:sz w:val="22"/>
          <w:szCs w:val="22"/>
        </w:rPr>
      </w:pPr>
      <w:r w:rsidRPr="0086046A">
        <w:rPr>
          <w:rFonts w:ascii="Times New Roman" w:hAnsi="Times New Roman" w:cs="Times New Roman"/>
          <w:sz w:val="22"/>
          <w:szCs w:val="22"/>
        </w:rPr>
        <w:t>Prefeito</w:t>
      </w:r>
    </w:p>
    <w:sectPr w:rsidR="00FE06C5" w:rsidRPr="0086046A" w:rsidSect="00692A9D">
      <w:headerReference w:type="default" r:id="rId7"/>
      <w:footerReference w:type="default" r:id="rId8"/>
      <w:pgSz w:w="11906" w:h="16838"/>
      <w:pgMar w:top="1440" w:right="1080" w:bottom="1440" w:left="1080" w:header="283" w:footer="8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021" w:rsidRDefault="00D04CD9">
      <w:r>
        <w:separator/>
      </w:r>
    </w:p>
  </w:endnote>
  <w:endnote w:type="continuationSeparator" w:id="0">
    <w:p w:rsidR="003A2021" w:rsidRDefault="00D0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C5" w:rsidRDefault="00D04CD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51656192"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E06C5" w:rsidRDefault="00D04CD9">
                          <w:pPr>
                            <w:pStyle w:val="Rodap"/>
                          </w:pPr>
                          <w:r>
                            <w:rPr>
                              <w:rStyle w:val="Nmerodepgina"/>
                              <w:sz w:val="16"/>
                            </w:rPr>
                            <w:fldChar w:fldCharType="begin"/>
                          </w:r>
                          <w:r>
                            <w:rPr>
                              <w:rStyle w:val="Nmerodepgina"/>
                              <w:sz w:val="16"/>
                            </w:rPr>
                            <w:instrText>PAGE</w:instrText>
                          </w:r>
                          <w:r>
                            <w:rPr>
                              <w:rStyle w:val="Nmerodepgina"/>
                              <w:sz w:val="16"/>
                            </w:rPr>
                            <w:fldChar w:fldCharType="separate"/>
                          </w:r>
                          <w:r w:rsidR="000B2ED5">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E06C5" w:rsidRDefault="00D04CD9">
                    <w:pPr>
                      <w:pStyle w:val="Rodap"/>
                    </w:pPr>
                    <w:r>
                      <w:rPr>
                        <w:rStyle w:val="Nmerodepgina"/>
                        <w:sz w:val="16"/>
                      </w:rPr>
                      <w:fldChar w:fldCharType="begin"/>
                    </w:r>
                    <w:r>
                      <w:rPr>
                        <w:rStyle w:val="Nmerodepgina"/>
                        <w:sz w:val="16"/>
                      </w:rPr>
                      <w:instrText>PAGE</w:instrText>
                    </w:r>
                    <w:r>
                      <w:rPr>
                        <w:rStyle w:val="Nmerodepgina"/>
                        <w:sz w:val="16"/>
                      </w:rPr>
                      <w:fldChar w:fldCharType="separate"/>
                    </w:r>
                    <w:r w:rsidR="000B2ED5">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021" w:rsidRDefault="00D04CD9">
      <w:r>
        <w:separator/>
      </w:r>
    </w:p>
  </w:footnote>
  <w:footnote w:type="continuationSeparator" w:id="0">
    <w:p w:rsidR="003A2021" w:rsidRDefault="00D0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C5" w:rsidRDefault="00D04CD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251665408" behindDoc="1" locked="0" layoutInCell="1" allowOverlap="1">
          <wp:simplePos x="0" y="0"/>
          <wp:positionH relativeFrom="column">
            <wp:posOffset>3810</wp:posOffset>
          </wp:positionH>
          <wp:positionV relativeFrom="paragraph">
            <wp:posOffset>-1270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FE06C5" w:rsidRDefault="00FE06C5">
    <w:pPr>
      <w:tabs>
        <w:tab w:val="center" w:pos="4419"/>
        <w:tab w:val="right" w:pos="8838"/>
      </w:tabs>
      <w:overflowPunct/>
      <w:autoSpaceDE/>
      <w:jc w:val="center"/>
      <w:textAlignment w:val="auto"/>
      <w:rPr>
        <w:rFonts w:ascii="Century Gothic" w:hAnsi="Century Gothic" w:cs="Century Gothic"/>
        <w:b/>
        <w:sz w:val="22"/>
        <w:lang w:eastAsia="pt-BR"/>
      </w:rPr>
    </w:pPr>
  </w:p>
  <w:p w:rsidR="00FE06C5" w:rsidRDefault="00D04CD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FE06C5" w:rsidRDefault="00D04CD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92A9D" w:rsidRDefault="00692A9D">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72ED"/>
    <w:multiLevelType w:val="hybridMultilevel"/>
    <w:tmpl w:val="87E02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BE2C05"/>
    <w:multiLevelType w:val="hybridMultilevel"/>
    <w:tmpl w:val="CF466F7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8CF2140"/>
    <w:multiLevelType w:val="hybridMultilevel"/>
    <w:tmpl w:val="70B4284A"/>
    <w:lvl w:ilvl="0" w:tplc="04160017">
      <w:start w:val="1"/>
      <w:numFmt w:val="lowerLetter"/>
      <w:lvlText w:val="%1)"/>
      <w:lvlJc w:val="left"/>
      <w:pPr>
        <w:ind w:left="2345" w:hanging="360"/>
      </w:p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nsid w:val="584A5B51"/>
    <w:multiLevelType w:val="multilevel"/>
    <w:tmpl w:val="F56023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E06C5"/>
    <w:rsid w:val="00066796"/>
    <w:rsid w:val="000B2ED5"/>
    <w:rsid w:val="001275FF"/>
    <w:rsid w:val="001D4C80"/>
    <w:rsid w:val="00296B2B"/>
    <w:rsid w:val="002E75EB"/>
    <w:rsid w:val="003A2021"/>
    <w:rsid w:val="00611D0C"/>
    <w:rsid w:val="00656788"/>
    <w:rsid w:val="006852C2"/>
    <w:rsid w:val="00692A9D"/>
    <w:rsid w:val="0086046A"/>
    <w:rsid w:val="009C3CC8"/>
    <w:rsid w:val="009E0309"/>
    <w:rsid w:val="009F40A6"/>
    <w:rsid w:val="00CA60F7"/>
    <w:rsid w:val="00D04CD9"/>
    <w:rsid w:val="00D5164C"/>
    <w:rsid w:val="00F25369"/>
    <w:rsid w:val="00FE06C5"/>
    <w:rsid w:val="00FF0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556EAB2-CE02-4BE0-BC56-A03EE8F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13</Pages>
  <Words>6319</Words>
  <Characters>34125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47</cp:revision>
  <dcterms:created xsi:type="dcterms:W3CDTF">2023-06-05T10:43:00Z</dcterms:created>
  <dcterms:modified xsi:type="dcterms:W3CDTF">2026-04-27T13:27:00Z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