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27" w:rsidRDefault="008322D3">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4/2025</w:t>
      </w:r>
    </w:p>
    <w:p w:rsidR="00110527" w:rsidRDefault="008322D3">
      <w:pPr>
        <w:pStyle w:val="Standard"/>
        <w:jc w:val="center"/>
        <w:rPr>
          <w:rFonts w:ascii="Times New Roman" w:hAnsi="Times New Roman" w:cs="Consolas"/>
          <w:b/>
          <w:bCs/>
          <w:sz w:val="22"/>
          <w:szCs w:val="22"/>
        </w:rPr>
      </w:pPr>
      <w:r>
        <w:rPr>
          <w:rFonts w:ascii="Times New Roman" w:hAnsi="Times New Roman" w:cs="Consolas"/>
          <w:b/>
          <w:bCs/>
          <w:sz w:val="22"/>
          <w:szCs w:val="22"/>
        </w:rPr>
        <w:t>Processo nº 67</w:t>
      </w:r>
      <w:r>
        <w:rPr>
          <w:rFonts w:ascii="Times New Roman" w:hAnsi="Times New Roman" w:cs="Times New Roman"/>
          <w:b/>
          <w:bCs/>
          <w:sz w:val="22"/>
          <w:szCs w:val="22"/>
        </w:rPr>
        <w:t>/2025</w:t>
      </w:r>
    </w:p>
    <w:p w:rsidR="00110527" w:rsidRDefault="00110527">
      <w:pPr>
        <w:pStyle w:val="Standard"/>
        <w:jc w:val="both"/>
        <w:rPr>
          <w:rFonts w:ascii="Times New Roman" w:hAnsi="Times New Roman" w:cs="Consolas"/>
          <w:sz w:val="22"/>
          <w:szCs w:val="22"/>
        </w:rPr>
      </w:pPr>
    </w:p>
    <w:p w:rsidR="00110527" w:rsidRDefault="008322D3">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110527" w:rsidRDefault="00110527">
      <w:pPr>
        <w:pStyle w:val="Standard"/>
        <w:jc w:val="both"/>
        <w:rPr>
          <w:rFonts w:ascii="Times New Roman" w:hAnsi="Times New Roman" w:cs="Consolas"/>
          <w:sz w:val="22"/>
          <w:szCs w:val="22"/>
        </w:rPr>
      </w:pPr>
    </w:p>
    <w:p w:rsidR="00110527" w:rsidRDefault="008322D3">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prestação de serviços em Fonoaudiologia para as Escolas Municipais da Secretaria Municipal de Educação do Município de Viadutos/RS</w:t>
      </w:r>
      <w:r>
        <w:rPr>
          <w:rFonts w:ascii="Times New Roman" w:hAnsi="Times New Roman" w:cs="Consolas"/>
          <w:b/>
          <w:bCs/>
          <w:sz w:val="22"/>
          <w:szCs w:val="22"/>
        </w:rPr>
        <w:t>.</w:t>
      </w:r>
    </w:p>
    <w:p w:rsidR="00110527" w:rsidRDefault="00110527">
      <w:pPr>
        <w:pStyle w:val="Standard"/>
        <w:jc w:val="both"/>
        <w:rPr>
          <w:rFonts w:ascii="Times New Roman" w:hAnsi="Times New Roman" w:cs="Consolas"/>
          <w:sz w:val="22"/>
          <w:szCs w:val="22"/>
        </w:rPr>
      </w:pPr>
    </w:p>
    <w:p w:rsidR="00110527" w:rsidRDefault="008322D3">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21/02/25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Parcelado, dos bens descritos no item 1, processando-se essa licitação nos termos da Lei Federal nº 14.133 de 1º de abril de 2021.</w:t>
      </w:r>
    </w:p>
    <w:p w:rsidR="00110527" w:rsidRDefault="00110527">
      <w:pPr>
        <w:pStyle w:val="Standard"/>
        <w:jc w:val="both"/>
        <w:rPr>
          <w:rFonts w:ascii="Times New Roman" w:hAnsi="Times New Roman" w:cs="Consolas"/>
          <w:sz w:val="22"/>
          <w:szCs w:val="22"/>
        </w:rPr>
      </w:pPr>
    </w:p>
    <w:p w:rsidR="00110527" w:rsidRDefault="008322D3">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110527" w:rsidRDefault="008322D3">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28" w:type="dxa"/>
        <w:tblCellMar>
          <w:top w:w="28" w:type="dxa"/>
          <w:left w:w="28" w:type="dxa"/>
          <w:bottom w:w="28" w:type="dxa"/>
          <w:right w:w="28" w:type="dxa"/>
        </w:tblCellMar>
        <w:tblLook w:val="04A0" w:firstRow="1" w:lastRow="0" w:firstColumn="1" w:lastColumn="0" w:noHBand="0" w:noVBand="1"/>
      </w:tblPr>
      <w:tblGrid>
        <w:gridCol w:w="709"/>
        <w:gridCol w:w="709"/>
        <w:gridCol w:w="2693"/>
        <w:gridCol w:w="1559"/>
        <w:gridCol w:w="1134"/>
        <w:gridCol w:w="1418"/>
        <w:gridCol w:w="1559"/>
      </w:tblGrid>
      <w:tr w:rsidR="004F2F2B" w:rsidTr="004F2F2B">
        <w:tc>
          <w:tcPr>
            <w:tcW w:w="709" w:type="dxa"/>
            <w:tcBorders>
              <w:top w:val="single" w:sz="2" w:space="0" w:color="000000"/>
              <w:left w:val="single" w:sz="2" w:space="0" w:color="000000"/>
              <w:bottom w:val="single" w:sz="2" w:space="0" w:color="000000"/>
              <w:right w:val="nil"/>
            </w:tcBorders>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709" w:type="dxa"/>
            <w:tcBorders>
              <w:top w:val="single" w:sz="2" w:space="0" w:color="000000"/>
              <w:left w:val="single" w:sz="2" w:space="0" w:color="000000"/>
              <w:bottom w:val="single" w:sz="2" w:space="0" w:color="000000"/>
              <w:right w:val="nil"/>
            </w:tcBorders>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2693" w:type="dxa"/>
            <w:tcBorders>
              <w:top w:val="single" w:sz="2" w:space="0" w:color="000000"/>
              <w:left w:val="single" w:sz="2" w:space="0" w:color="000000"/>
              <w:bottom w:val="single" w:sz="2" w:space="0" w:color="000000"/>
              <w:right w:val="nil"/>
            </w:tcBorders>
            <w:hideMark/>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559" w:type="dxa"/>
            <w:tcBorders>
              <w:top w:val="single" w:sz="2" w:space="0" w:color="000000"/>
              <w:left w:val="single" w:sz="2" w:space="0" w:color="000000"/>
              <w:bottom w:val="single" w:sz="2" w:space="0" w:color="000000"/>
              <w:right w:val="nil"/>
            </w:tcBorders>
            <w:hideMark/>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Semanal</w:t>
            </w:r>
          </w:p>
        </w:tc>
        <w:tc>
          <w:tcPr>
            <w:tcW w:w="1134" w:type="dxa"/>
            <w:tcBorders>
              <w:top w:val="single" w:sz="2" w:space="0" w:color="000000"/>
              <w:left w:val="single" w:sz="2" w:space="0" w:color="000000"/>
              <w:bottom w:val="single" w:sz="2" w:space="0" w:color="000000"/>
              <w:right w:val="nil"/>
            </w:tcBorders>
            <w:hideMark/>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418" w:type="dxa"/>
            <w:tcBorders>
              <w:top w:val="single" w:sz="2" w:space="0" w:color="000000"/>
              <w:left w:val="single" w:sz="2" w:space="0" w:color="000000"/>
              <w:bottom w:val="single" w:sz="2" w:space="0" w:color="000000"/>
              <w:right w:val="nil"/>
            </w:tcBorders>
            <w:hideMark/>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559" w:type="dxa"/>
            <w:tcBorders>
              <w:top w:val="single" w:sz="2" w:space="0" w:color="000000"/>
              <w:left w:val="single" w:sz="2" w:space="0" w:color="000000"/>
              <w:bottom w:val="single" w:sz="2" w:space="0" w:color="000000"/>
              <w:right w:val="single" w:sz="2" w:space="0" w:color="000000"/>
            </w:tcBorders>
            <w:hideMark/>
          </w:tcPr>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 xml:space="preserve">Total </w:t>
            </w:r>
          </w:p>
          <w:p w:rsidR="004F2F2B" w:rsidRDefault="004F2F2B">
            <w:pPr>
              <w:pStyle w:val="Standard"/>
              <w:jc w:val="center"/>
              <w:rPr>
                <w:rFonts w:ascii="Times New Roman" w:hAnsi="Times New Roman" w:cs="Times New Roman"/>
                <w:b/>
                <w:bCs/>
                <w:sz w:val="22"/>
                <w:szCs w:val="22"/>
              </w:rPr>
            </w:pPr>
            <w:r>
              <w:rPr>
                <w:rFonts w:ascii="Times New Roman" w:hAnsi="Times New Roman" w:cs="Times New Roman"/>
                <w:b/>
                <w:bCs/>
                <w:sz w:val="22"/>
                <w:szCs w:val="22"/>
              </w:rPr>
              <w:t>Semanal</w:t>
            </w:r>
          </w:p>
        </w:tc>
      </w:tr>
      <w:tr w:rsidR="004F2F2B" w:rsidTr="004F2F2B">
        <w:tc>
          <w:tcPr>
            <w:tcW w:w="709" w:type="dxa"/>
            <w:tcBorders>
              <w:top w:val="nil"/>
              <w:left w:val="single" w:sz="2" w:space="0" w:color="000000"/>
              <w:bottom w:val="single" w:sz="2" w:space="0" w:color="000000"/>
              <w:right w:val="nil"/>
            </w:tcBorders>
          </w:tcPr>
          <w:p w:rsidR="004F2F2B" w:rsidRDefault="004F2F2B">
            <w:pPr>
              <w:pStyle w:val="Standard"/>
              <w:rPr>
                <w:rFonts w:ascii="Times New Roman" w:hAnsi="Times New Roman" w:cs="Times New Roman"/>
                <w:sz w:val="22"/>
                <w:szCs w:val="22"/>
              </w:rPr>
            </w:pPr>
            <w:r>
              <w:rPr>
                <w:rFonts w:ascii="Times New Roman" w:hAnsi="Times New Roman" w:cs="Times New Roman"/>
                <w:sz w:val="22"/>
                <w:szCs w:val="22"/>
              </w:rPr>
              <w:t>1</w:t>
            </w:r>
          </w:p>
        </w:tc>
        <w:tc>
          <w:tcPr>
            <w:tcW w:w="709" w:type="dxa"/>
            <w:tcBorders>
              <w:top w:val="nil"/>
              <w:left w:val="single" w:sz="2" w:space="0" w:color="000000"/>
              <w:bottom w:val="single" w:sz="2" w:space="0" w:color="000000"/>
              <w:right w:val="nil"/>
            </w:tcBorders>
          </w:tcPr>
          <w:p w:rsidR="004F2F2B" w:rsidRDefault="004F2F2B">
            <w:pPr>
              <w:pStyle w:val="Standard"/>
              <w:rPr>
                <w:rFonts w:ascii="Times New Roman" w:hAnsi="Times New Roman" w:cs="Times New Roman"/>
                <w:sz w:val="22"/>
                <w:szCs w:val="22"/>
              </w:rPr>
            </w:pPr>
            <w:r>
              <w:rPr>
                <w:rFonts w:ascii="Times New Roman" w:hAnsi="Times New Roman" w:cs="Times New Roman"/>
                <w:sz w:val="22"/>
                <w:szCs w:val="22"/>
              </w:rPr>
              <w:t>1</w:t>
            </w:r>
          </w:p>
        </w:tc>
        <w:tc>
          <w:tcPr>
            <w:tcW w:w="2693" w:type="dxa"/>
            <w:tcBorders>
              <w:top w:val="nil"/>
              <w:left w:val="single" w:sz="2" w:space="0" w:color="000000"/>
              <w:bottom w:val="single" w:sz="2" w:space="0" w:color="000000"/>
              <w:right w:val="nil"/>
            </w:tcBorders>
            <w:hideMark/>
          </w:tcPr>
          <w:p w:rsidR="004F2F2B" w:rsidRDefault="004F2F2B">
            <w:pPr>
              <w:pStyle w:val="Standard"/>
              <w:rPr>
                <w:rFonts w:ascii="Times New Roman" w:hAnsi="Times New Roman" w:cs="Times New Roman"/>
                <w:sz w:val="22"/>
                <w:szCs w:val="22"/>
              </w:rPr>
            </w:pPr>
            <w:r>
              <w:rPr>
                <w:rFonts w:ascii="Times New Roman" w:hAnsi="Times New Roman" w:cs="Times New Roman"/>
                <w:sz w:val="22"/>
                <w:szCs w:val="22"/>
              </w:rPr>
              <w:t>Prestação de Serviços em fonoaudiologia</w:t>
            </w:r>
          </w:p>
        </w:tc>
        <w:tc>
          <w:tcPr>
            <w:tcW w:w="1559" w:type="dxa"/>
            <w:tcBorders>
              <w:top w:val="nil"/>
              <w:left w:val="single" w:sz="2" w:space="0" w:color="000000"/>
              <w:bottom w:val="single" w:sz="2" w:space="0" w:color="000000"/>
              <w:right w:val="nil"/>
            </w:tcBorders>
            <w:hideMark/>
          </w:tcPr>
          <w:p w:rsidR="004F2F2B" w:rsidRDefault="004F2F2B" w:rsidP="0098390F">
            <w:pPr>
              <w:pStyle w:val="Standard"/>
              <w:jc w:val="right"/>
              <w:rPr>
                <w:rFonts w:ascii="Times New Roman" w:hAnsi="Times New Roman" w:cs="Times New Roman"/>
                <w:sz w:val="22"/>
                <w:szCs w:val="22"/>
              </w:rPr>
            </w:pPr>
            <w:r>
              <w:rPr>
                <w:rFonts w:ascii="Times New Roman" w:hAnsi="Times New Roman" w:cs="Times New Roman"/>
                <w:sz w:val="22"/>
                <w:szCs w:val="22"/>
              </w:rPr>
              <w:t>1</w:t>
            </w:r>
            <w:r w:rsidR="0098390F">
              <w:rPr>
                <w:rFonts w:ascii="Times New Roman" w:hAnsi="Times New Roman" w:cs="Times New Roman"/>
                <w:sz w:val="22"/>
                <w:szCs w:val="22"/>
              </w:rPr>
              <w:t>6</w:t>
            </w:r>
            <w:r>
              <w:rPr>
                <w:rFonts w:ascii="Times New Roman" w:hAnsi="Times New Roman" w:cs="Times New Roman"/>
                <w:sz w:val="22"/>
                <w:szCs w:val="22"/>
              </w:rPr>
              <w:t>,0</w:t>
            </w:r>
          </w:p>
        </w:tc>
        <w:tc>
          <w:tcPr>
            <w:tcW w:w="1134" w:type="dxa"/>
            <w:tcBorders>
              <w:top w:val="nil"/>
              <w:left w:val="single" w:sz="2" w:space="0" w:color="000000"/>
              <w:bottom w:val="single" w:sz="2" w:space="0" w:color="000000"/>
              <w:right w:val="nil"/>
            </w:tcBorders>
            <w:hideMark/>
          </w:tcPr>
          <w:p w:rsidR="004F2F2B" w:rsidRDefault="008751F6">
            <w:pPr>
              <w:pStyle w:val="Standard"/>
              <w:jc w:val="right"/>
              <w:rPr>
                <w:rFonts w:ascii="Times New Roman" w:hAnsi="Times New Roman" w:cs="Times New Roman"/>
                <w:sz w:val="22"/>
                <w:szCs w:val="22"/>
              </w:rPr>
            </w:pPr>
            <w:r>
              <w:rPr>
                <w:rFonts w:ascii="Times New Roman" w:hAnsi="Times New Roman" w:cs="Times New Roman"/>
                <w:sz w:val="22"/>
                <w:szCs w:val="22"/>
              </w:rPr>
              <w:t>Horas</w:t>
            </w:r>
          </w:p>
        </w:tc>
        <w:tc>
          <w:tcPr>
            <w:tcW w:w="1418" w:type="dxa"/>
            <w:tcBorders>
              <w:top w:val="nil"/>
              <w:left w:val="single" w:sz="2" w:space="0" w:color="000000"/>
              <w:bottom w:val="single" w:sz="2" w:space="0" w:color="000000"/>
              <w:right w:val="nil"/>
            </w:tcBorders>
            <w:hideMark/>
          </w:tcPr>
          <w:p w:rsidR="004F2F2B" w:rsidRDefault="004F2F2B">
            <w:pPr>
              <w:pStyle w:val="Standard"/>
              <w:jc w:val="right"/>
              <w:rPr>
                <w:rFonts w:ascii="Times New Roman" w:hAnsi="Times New Roman" w:cs="Times New Roman"/>
                <w:sz w:val="22"/>
                <w:szCs w:val="22"/>
              </w:rPr>
            </w:pPr>
            <w:r>
              <w:rPr>
                <w:rFonts w:ascii="Times New Roman" w:hAnsi="Times New Roman" w:cs="Times New Roman"/>
                <w:sz w:val="22"/>
                <w:szCs w:val="22"/>
              </w:rPr>
              <w:t>R$ 125,65</w:t>
            </w:r>
          </w:p>
        </w:tc>
        <w:tc>
          <w:tcPr>
            <w:tcW w:w="1559" w:type="dxa"/>
            <w:tcBorders>
              <w:top w:val="nil"/>
              <w:left w:val="single" w:sz="2" w:space="0" w:color="000000"/>
              <w:bottom w:val="single" w:sz="2" w:space="0" w:color="000000"/>
              <w:right w:val="single" w:sz="2" w:space="0" w:color="000000"/>
            </w:tcBorders>
            <w:hideMark/>
          </w:tcPr>
          <w:p w:rsidR="004F2F2B" w:rsidRDefault="004F2F2B" w:rsidP="0098390F">
            <w:pPr>
              <w:pStyle w:val="Standard"/>
              <w:jc w:val="right"/>
              <w:rPr>
                <w:rFonts w:ascii="Times New Roman" w:hAnsi="Times New Roman" w:cs="Times New Roman"/>
                <w:sz w:val="22"/>
                <w:szCs w:val="22"/>
              </w:rPr>
            </w:pPr>
            <w:r>
              <w:rPr>
                <w:rFonts w:ascii="Times New Roman" w:hAnsi="Times New Roman" w:cs="Times New Roman"/>
                <w:sz w:val="22"/>
                <w:szCs w:val="22"/>
              </w:rPr>
              <w:t xml:space="preserve">R$   </w:t>
            </w:r>
            <w:r w:rsidR="0098390F">
              <w:rPr>
                <w:rFonts w:ascii="Times New Roman" w:hAnsi="Times New Roman" w:cs="Times New Roman"/>
                <w:sz w:val="22"/>
                <w:szCs w:val="22"/>
              </w:rPr>
              <w:t>2.010,40</w:t>
            </w:r>
          </w:p>
        </w:tc>
      </w:tr>
    </w:tbl>
    <w:p w:rsidR="00110527" w:rsidRDefault="00110527">
      <w:pPr>
        <w:pStyle w:val="Standard"/>
        <w:jc w:val="both"/>
        <w:rPr>
          <w:rFonts w:ascii="Times New Roman" w:hAnsi="Times New Roman" w:cs="Consolas"/>
          <w:sz w:val="22"/>
          <w:szCs w:val="22"/>
        </w:rPr>
      </w:pPr>
    </w:p>
    <w:p w:rsidR="004F2F2B" w:rsidRDefault="004F2F2B">
      <w:pPr>
        <w:pStyle w:val="Standard"/>
        <w:spacing w:line="276" w:lineRule="auto"/>
        <w:jc w:val="both"/>
        <w:rPr>
          <w:rFonts w:ascii="Times New Roman" w:hAnsi="Times New Roman" w:cs="Consolas"/>
          <w:bCs/>
          <w:sz w:val="22"/>
          <w:szCs w:val="22"/>
        </w:rPr>
      </w:pPr>
      <w:r>
        <w:rPr>
          <w:rFonts w:ascii="Times New Roman" w:hAnsi="Times New Roman" w:cs="Consolas"/>
          <w:bCs/>
          <w:sz w:val="22"/>
          <w:szCs w:val="22"/>
        </w:rPr>
        <w:t>Os serviços serão prestados na Sala de Atendimento da Secretaria Municipal de Educação, Cultura e desporto, do Município de Viadutos-RS.</w:t>
      </w:r>
    </w:p>
    <w:p w:rsidR="006842DB" w:rsidRDefault="006842DB">
      <w:pPr>
        <w:pStyle w:val="Standard"/>
        <w:spacing w:line="276" w:lineRule="auto"/>
        <w:jc w:val="both"/>
        <w:rPr>
          <w:rFonts w:ascii="Times New Roman" w:hAnsi="Times New Roman" w:cs="Consolas"/>
          <w:bCs/>
          <w:sz w:val="22"/>
          <w:szCs w:val="22"/>
        </w:rPr>
      </w:pPr>
      <w:bookmarkStart w:id="0" w:name="_GoBack"/>
      <w:bookmarkEnd w:id="0"/>
    </w:p>
    <w:p w:rsidR="004F2F2B" w:rsidRPr="004F2F2B" w:rsidRDefault="004F2F2B">
      <w:pPr>
        <w:pStyle w:val="Standard"/>
        <w:spacing w:line="276" w:lineRule="auto"/>
        <w:jc w:val="both"/>
        <w:rPr>
          <w:rFonts w:ascii="Times New Roman" w:hAnsi="Times New Roman" w:cs="Consolas"/>
          <w:bC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w:t>
      </w:r>
      <w:r>
        <w:rPr>
          <w:rFonts w:ascii="Times New Roman" w:hAnsi="Times New Roman" w:cs="Times New Roman"/>
          <w:sz w:val="22"/>
          <w:szCs w:val="22"/>
        </w:rPr>
        <w:t>/2025</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w:t>
      </w:r>
      <w:r>
        <w:rPr>
          <w:rFonts w:ascii="Times New Roman" w:hAnsi="Times New Roman" w:cs="Times New Roman"/>
          <w:sz w:val="22"/>
          <w:szCs w:val="22"/>
        </w:rPr>
        <w:t>/2025</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3.3. O credenciamento será efetuado da seguinte forma: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110527" w:rsidRDefault="00110527">
      <w:pPr>
        <w:pStyle w:val="Standard"/>
        <w:spacing w:line="276" w:lineRule="auto"/>
        <w:jc w:val="both"/>
        <w:rPr>
          <w:rFonts w:ascii="Times New Roman" w:hAnsi="Times New Roman" w:cs="Consolas"/>
          <w:sz w:val="22"/>
          <w:szCs w:val="22"/>
        </w:rPr>
      </w:pPr>
    </w:p>
    <w:p w:rsidR="004F2F2B" w:rsidRDefault="004F2F2B">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5. DA PROPOSTA DE PREÇO: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4F2F2B">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4248D7">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c) afrontem qualquer dispositivo legal vigente, bem como as que não atenderem aos requisitos do item 5;</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4F2F2B">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110527" w:rsidRDefault="00110527">
      <w:pPr>
        <w:pStyle w:val="Standard"/>
        <w:spacing w:line="276" w:lineRule="auto"/>
        <w:jc w:val="both"/>
        <w:rPr>
          <w:rFonts w:ascii="Times New Roman" w:hAnsi="Times New Roman" w:cs="Consolas"/>
          <w:sz w:val="22"/>
          <w:szCs w:val="22"/>
        </w:rPr>
      </w:pPr>
    </w:p>
    <w:p w:rsidR="00357CF9" w:rsidRPr="00564B12" w:rsidRDefault="00357CF9" w:rsidP="00357CF9">
      <w:pPr>
        <w:autoSpaceDN w:val="0"/>
        <w:adjustRightInd w:val="0"/>
        <w:jc w:val="both"/>
        <w:rPr>
          <w:rFonts w:eastAsia="Arial Unicode MS"/>
          <w:b/>
          <w:bCs/>
          <w:sz w:val="22"/>
          <w:lang w:eastAsia="pt-BR"/>
        </w:rPr>
      </w:pPr>
      <w:r w:rsidRPr="00564B12">
        <w:rPr>
          <w:b/>
          <w:sz w:val="22"/>
          <w:szCs w:val="22"/>
        </w:rPr>
        <w:t>7.4.</w:t>
      </w:r>
      <w:r>
        <w:rPr>
          <w:b/>
          <w:sz w:val="22"/>
          <w:szCs w:val="22"/>
        </w:rPr>
        <w:t xml:space="preserve"> </w:t>
      </w:r>
      <w:r>
        <w:rPr>
          <w:rFonts w:eastAsia="Arial Unicode MS"/>
          <w:b/>
          <w:bCs/>
          <w:sz w:val="22"/>
          <w:lang w:eastAsia="pt-BR"/>
        </w:rPr>
        <w:t>HABILITAÇÃO TECNICA</w:t>
      </w:r>
      <w:r w:rsidRPr="00564B12">
        <w:rPr>
          <w:rFonts w:eastAsia="Arial Unicode MS"/>
          <w:b/>
          <w:bCs/>
          <w:sz w:val="22"/>
          <w:lang w:eastAsia="pt-BR"/>
        </w:rPr>
        <w:t>;</w:t>
      </w:r>
    </w:p>
    <w:p w:rsidR="00357CF9" w:rsidRPr="00564B12" w:rsidRDefault="00357CF9" w:rsidP="00357CF9">
      <w:pPr>
        <w:autoSpaceDN w:val="0"/>
        <w:adjustRightInd w:val="0"/>
        <w:jc w:val="both"/>
        <w:rPr>
          <w:rFonts w:eastAsia="Arial Unicode MS"/>
          <w:bCs/>
          <w:sz w:val="22"/>
          <w:lang w:eastAsia="pt-BR"/>
        </w:rPr>
      </w:pPr>
      <w:r w:rsidRPr="00564B12">
        <w:rPr>
          <w:rFonts w:eastAsia="Arial Unicode MS"/>
          <w:bCs/>
          <w:sz w:val="22"/>
          <w:lang w:eastAsia="pt-BR"/>
        </w:rPr>
        <w:t>a) Comprovante de inscrição ou protocolo de inscrição da pessoa jurídica junto ao Conselho competente.</w:t>
      </w:r>
    </w:p>
    <w:p w:rsidR="00357CF9" w:rsidRPr="00564B12" w:rsidRDefault="00357CF9" w:rsidP="00357CF9">
      <w:pPr>
        <w:autoSpaceDN w:val="0"/>
        <w:adjustRightInd w:val="0"/>
        <w:jc w:val="both"/>
        <w:rPr>
          <w:rFonts w:eastAsia="Arial Unicode MS"/>
          <w:bCs/>
          <w:sz w:val="22"/>
          <w:lang w:eastAsia="pt-BR"/>
        </w:rPr>
      </w:pPr>
      <w:r w:rsidRPr="00564B12">
        <w:rPr>
          <w:rFonts w:eastAsia="Arial Unicode MS"/>
          <w:sz w:val="22"/>
        </w:rPr>
        <w:t>b) Indicação do(s) profissional(</w:t>
      </w:r>
      <w:proofErr w:type="spellStart"/>
      <w:r w:rsidRPr="00564B12">
        <w:rPr>
          <w:rFonts w:eastAsia="Arial Unicode MS"/>
          <w:sz w:val="22"/>
        </w:rPr>
        <w:t>is</w:t>
      </w:r>
      <w:proofErr w:type="spellEnd"/>
      <w:r w:rsidRPr="00564B12">
        <w:rPr>
          <w:rFonts w:eastAsia="Arial Unicode MS"/>
          <w:sz w:val="22"/>
        </w:rPr>
        <w:t xml:space="preserve">) para a prestação dos serviços, com sua qualificação e inscrição no Conselho e declaração expressa deste(s) de sua disponibilidade para o cumprimento de carga horária semanal de 10 (dez) horas. </w:t>
      </w:r>
    </w:p>
    <w:p w:rsidR="00357CF9" w:rsidRPr="00564B12" w:rsidRDefault="00357CF9" w:rsidP="00357CF9">
      <w:pPr>
        <w:autoSpaceDN w:val="0"/>
        <w:adjustRightInd w:val="0"/>
        <w:jc w:val="both"/>
        <w:rPr>
          <w:rFonts w:eastAsia="Arial Unicode MS"/>
          <w:sz w:val="22"/>
        </w:rPr>
      </w:pPr>
      <w:r w:rsidRPr="00564B12">
        <w:rPr>
          <w:rFonts w:eastAsia="Arial Unicode MS"/>
          <w:sz w:val="22"/>
        </w:rPr>
        <w:t xml:space="preserve">c) Atestado ou certidão ou comprovante, de que o profissional tenha executado atividades de fonoaudiologia, de pelo mínimo de 1 (um) ano. </w:t>
      </w:r>
    </w:p>
    <w:p w:rsidR="00357CF9" w:rsidRPr="00564B12" w:rsidRDefault="00357CF9" w:rsidP="00357CF9">
      <w:pPr>
        <w:autoSpaceDN w:val="0"/>
        <w:adjustRightInd w:val="0"/>
        <w:jc w:val="both"/>
        <w:rPr>
          <w:rFonts w:eastAsia="Arial Unicode MS"/>
          <w:sz w:val="22"/>
        </w:rPr>
      </w:pPr>
      <w:r w:rsidRPr="00564B12">
        <w:rPr>
          <w:rFonts w:eastAsia="Arial Unicode MS"/>
          <w:sz w:val="22"/>
        </w:rPr>
        <w:t>d) O(s) profissional(</w:t>
      </w:r>
      <w:proofErr w:type="spellStart"/>
      <w:r w:rsidRPr="00564B12">
        <w:rPr>
          <w:rFonts w:eastAsia="Arial Unicode MS"/>
          <w:sz w:val="22"/>
        </w:rPr>
        <w:t>is</w:t>
      </w:r>
      <w:proofErr w:type="spellEnd"/>
      <w:r w:rsidRPr="00564B12">
        <w:rPr>
          <w:rFonts w:eastAsia="Arial Unicode MS"/>
          <w:sz w:val="22"/>
        </w:rPr>
        <w:t>) indicado(os), para fins de comprovação da capacitação técnico-profissional, deverá(</w:t>
      </w:r>
      <w:proofErr w:type="spellStart"/>
      <w:r w:rsidRPr="00564B12">
        <w:rPr>
          <w:rFonts w:eastAsia="Arial Unicode MS"/>
          <w:sz w:val="22"/>
        </w:rPr>
        <w:t>ão</w:t>
      </w:r>
      <w:proofErr w:type="spellEnd"/>
      <w:r w:rsidRPr="00564B12">
        <w:rPr>
          <w:rFonts w:eastAsia="Arial Unicode MS"/>
          <w:sz w:val="22"/>
        </w:rPr>
        <w:t>) participar dos serviços objeto da licitação, com prova do vínculo existente com a empresa licitante, de natureza societária, associada ou trabalhista.</w:t>
      </w:r>
    </w:p>
    <w:p w:rsidR="00964A10" w:rsidRDefault="00964A10">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110527">
        <w:tc>
          <w:tcPr>
            <w:tcW w:w="3212" w:type="dxa"/>
            <w:tcBorders>
              <w:top w:val="single" w:sz="2" w:space="0" w:color="000000"/>
              <w:left w:val="single" w:sz="2" w:space="0" w:color="000000"/>
              <w:bottom w:val="single" w:sz="2" w:space="0" w:color="000000"/>
            </w:tcBorders>
          </w:tcPr>
          <w:p w:rsidR="00110527" w:rsidRDefault="008322D3">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10527" w:rsidRDefault="008322D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10527" w:rsidRDefault="008322D3">
            <w:pPr>
              <w:pStyle w:val="Contedodatabela"/>
              <w:spacing w:line="276" w:lineRule="auto"/>
              <w:jc w:val="center"/>
              <w:rPr>
                <w:b/>
                <w:bCs/>
                <w:sz w:val="22"/>
                <w:szCs w:val="22"/>
              </w:rPr>
            </w:pPr>
            <w:r>
              <w:rPr>
                <w:b/>
                <w:bCs/>
                <w:sz w:val="22"/>
                <w:szCs w:val="22"/>
              </w:rPr>
              <w:t>Vinculado</w:t>
            </w:r>
          </w:p>
        </w:tc>
      </w:tr>
      <w:tr w:rsidR="00110527">
        <w:tc>
          <w:tcPr>
            <w:tcW w:w="3212" w:type="dxa"/>
            <w:tcBorders>
              <w:left w:val="single" w:sz="2" w:space="0" w:color="000000"/>
              <w:bottom w:val="single" w:sz="2" w:space="0" w:color="000000"/>
            </w:tcBorders>
          </w:tcPr>
          <w:p w:rsidR="00110527" w:rsidRDefault="008322D3">
            <w:pPr>
              <w:pStyle w:val="Contedodatabela"/>
              <w:spacing w:line="276" w:lineRule="auto"/>
              <w:jc w:val="both"/>
              <w:rPr>
                <w:sz w:val="22"/>
                <w:szCs w:val="22"/>
              </w:rPr>
            </w:pPr>
            <w:r>
              <w:rPr>
                <w:sz w:val="22"/>
                <w:szCs w:val="22"/>
              </w:rPr>
              <w:t>1430</w:t>
            </w:r>
          </w:p>
        </w:tc>
        <w:tc>
          <w:tcPr>
            <w:tcW w:w="3212" w:type="dxa"/>
            <w:tcBorders>
              <w:left w:val="single" w:sz="2" w:space="0" w:color="000000"/>
              <w:bottom w:val="single" w:sz="2" w:space="0" w:color="000000"/>
            </w:tcBorders>
          </w:tcPr>
          <w:p w:rsidR="00110527" w:rsidRDefault="008322D3">
            <w:pPr>
              <w:pStyle w:val="Contedodatabela"/>
              <w:spacing w:line="276" w:lineRule="auto"/>
              <w:jc w:val="both"/>
              <w:rPr>
                <w:sz w:val="22"/>
                <w:szCs w:val="22"/>
              </w:rPr>
            </w:pPr>
            <w:r>
              <w:rPr>
                <w:sz w:val="22"/>
                <w:szCs w:val="22"/>
              </w:rPr>
              <w:t>339039050000</w:t>
            </w:r>
          </w:p>
        </w:tc>
        <w:tc>
          <w:tcPr>
            <w:tcW w:w="3213" w:type="dxa"/>
            <w:tcBorders>
              <w:left w:val="single" w:sz="2" w:space="0" w:color="000000"/>
              <w:bottom w:val="single" w:sz="2" w:space="0" w:color="000000"/>
              <w:right w:val="single" w:sz="2" w:space="0" w:color="000000"/>
            </w:tcBorders>
          </w:tcPr>
          <w:p w:rsidR="00110527" w:rsidRDefault="008322D3">
            <w:pPr>
              <w:pStyle w:val="Contedodatabela"/>
              <w:spacing w:line="276" w:lineRule="auto"/>
              <w:jc w:val="both"/>
              <w:rPr>
                <w:sz w:val="22"/>
                <w:szCs w:val="22"/>
              </w:rPr>
            </w:pPr>
            <w:r>
              <w:rPr>
                <w:sz w:val="22"/>
                <w:szCs w:val="22"/>
              </w:rPr>
              <w:t>1500</w:t>
            </w:r>
          </w:p>
        </w:tc>
      </w:tr>
    </w:tbl>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81B92" w:rsidRDefault="00981B92" w:rsidP="00981B92">
      <w:pPr>
        <w:pStyle w:val="Standard"/>
        <w:spacing w:line="276" w:lineRule="auto"/>
        <w:jc w:val="both"/>
        <w:rPr>
          <w:rFonts w:ascii="Times New Roman" w:hAnsi="Times New Roman" w:cs="Times New Roman"/>
          <w:sz w:val="22"/>
          <w:szCs w:val="22"/>
        </w:rPr>
      </w:pPr>
      <w:r>
        <w:rPr>
          <w:rFonts w:ascii="Times New Roman" w:hAnsi="Times New Roman" w:cs="Consolas"/>
          <w:sz w:val="22"/>
          <w:szCs w:val="22"/>
        </w:rPr>
        <w:t>16.1</w:t>
      </w:r>
      <w:r w:rsidR="008322D3">
        <w:rPr>
          <w:rFonts w:ascii="Times New Roman" w:hAnsi="Times New Roman" w:cs="Consolas"/>
          <w:sz w:val="22"/>
          <w:szCs w:val="22"/>
        </w:rPr>
        <w:t>.</w:t>
      </w:r>
      <w:r>
        <w:rPr>
          <w:rFonts w:ascii="Times New Roman" w:hAnsi="Times New Roman" w:cs="Consolas"/>
          <w:sz w:val="22"/>
          <w:szCs w:val="22"/>
        </w:rPr>
        <w:t xml:space="preserve"> </w:t>
      </w:r>
      <w:r w:rsidRPr="00981B92">
        <w:rPr>
          <w:rFonts w:ascii="Times New Roman" w:hAnsi="Times New Roman" w:cs="Times New Roman"/>
          <w:sz w:val="22"/>
          <w:szCs w:val="22"/>
        </w:rPr>
        <w:t>Verificada a desconformidade do material ou serviço, a licitante deverá promover as correções necessárias imediatamente, sujeitando-se às penalidades previstas neste edital.</w:t>
      </w:r>
    </w:p>
    <w:p w:rsidR="00981B92" w:rsidRPr="00981B92" w:rsidRDefault="00981B92" w:rsidP="00981B92">
      <w:pPr>
        <w:pStyle w:val="Standard"/>
        <w:spacing w:line="276" w:lineRule="auto"/>
        <w:jc w:val="both"/>
        <w:rPr>
          <w:rFonts w:ascii="Times New Roman" w:hAnsi="Times New Roman" w:cs="Times New Roman"/>
          <w:bCs/>
          <w:sz w:val="22"/>
          <w:szCs w:val="22"/>
        </w:rPr>
      </w:pPr>
      <w:r>
        <w:rPr>
          <w:rFonts w:ascii="Times New Roman" w:hAnsi="Times New Roman" w:cs="Times New Roman"/>
          <w:sz w:val="22"/>
          <w:szCs w:val="22"/>
        </w:rPr>
        <w:t>16.2</w:t>
      </w:r>
      <w:r w:rsidR="008322D3" w:rsidRPr="00981B92">
        <w:rPr>
          <w:rFonts w:ascii="Times New Roman" w:hAnsi="Times New Roman" w:cs="Times New Roman"/>
          <w:sz w:val="22"/>
          <w:szCs w:val="22"/>
        </w:rPr>
        <w:t xml:space="preserve">. </w:t>
      </w:r>
      <w:r w:rsidRPr="00981B92">
        <w:rPr>
          <w:rFonts w:ascii="Times New Roman" w:hAnsi="Times New Roman" w:cs="Times New Roman"/>
          <w:bCs/>
          <w:sz w:val="22"/>
          <w:szCs w:val="22"/>
        </w:rPr>
        <w:t>Os serviços serão prestados na Sala de Atendimento da Secretaria Municipal de Educação, Cultura e desporto, do Município de Viadutos-RS.</w:t>
      </w:r>
    </w:p>
    <w:p w:rsidR="00110527" w:rsidRPr="00981B92" w:rsidRDefault="00981B9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8322D3" w:rsidRPr="00981B92">
        <w:rPr>
          <w:rFonts w:ascii="Times New Roman" w:hAnsi="Times New Roman" w:cs="Times New Roman"/>
          <w:sz w:val="22"/>
          <w:szCs w:val="22"/>
        </w:rPr>
        <w:t>. A nota fiscal/fatura deverá, obrigatoriamente, ser entregue junto com o seu objeto.</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110527" w:rsidRDefault="008322D3">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110527" w:rsidRDefault="008322D3">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110527" w:rsidRDefault="008322D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110527" w:rsidRDefault="008322D3">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110527" w:rsidRDefault="00110527">
      <w:pPr>
        <w:pStyle w:val="Standard"/>
        <w:spacing w:line="276" w:lineRule="auto"/>
        <w:jc w:val="both"/>
        <w:rPr>
          <w:rFonts w:ascii="Times New Roman" w:hAnsi="Times New Roman" w:cs="Consolas"/>
          <w:sz w:val="22"/>
          <w:szCs w:val="22"/>
        </w:rPr>
      </w:pPr>
    </w:p>
    <w:p w:rsidR="00110527" w:rsidRDefault="00981B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10 de fevereiro de 2025</w:t>
      </w:r>
    </w:p>
    <w:p w:rsidR="00110527" w:rsidRDefault="00110527">
      <w:pPr>
        <w:pStyle w:val="Standard"/>
        <w:spacing w:line="276" w:lineRule="auto"/>
        <w:jc w:val="center"/>
        <w:rPr>
          <w:rFonts w:ascii="Times New Roman" w:hAnsi="Times New Roman" w:cs="Consolas"/>
          <w:sz w:val="22"/>
          <w:szCs w:val="22"/>
        </w:rPr>
      </w:pPr>
    </w:p>
    <w:p w:rsidR="00110527" w:rsidRDefault="00110527">
      <w:pPr>
        <w:pStyle w:val="Standard"/>
        <w:spacing w:line="276" w:lineRule="auto"/>
        <w:jc w:val="center"/>
        <w:rPr>
          <w:rFonts w:ascii="Times New Roman" w:hAnsi="Times New Roman" w:cs="Consolas"/>
          <w:sz w:val="22"/>
          <w:szCs w:val="22"/>
        </w:rPr>
      </w:pPr>
    </w:p>
    <w:p w:rsidR="00110527" w:rsidRDefault="008322D3">
      <w:pPr>
        <w:pStyle w:val="Standard"/>
        <w:spacing w:line="276" w:lineRule="auto"/>
        <w:jc w:val="center"/>
        <w:rPr>
          <w:rFonts w:ascii="Times New Roman" w:hAnsi="Times New Roman" w:cs="Consolas"/>
          <w:sz w:val="22"/>
          <w:szCs w:val="22"/>
        </w:rPr>
      </w:pPr>
      <w:proofErr w:type="spellStart"/>
      <w:r>
        <w:rPr>
          <w:rFonts w:ascii="Times New Roman" w:hAnsi="Times New Roman" w:cs="Consolas"/>
          <w:sz w:val="22"/>
          <w:szCs w:val="22"/>
        </w:rPr>
        <w:t>Giovan</w:t>
      </w:r>
      <w:proofErr w:type="spellEnd"/>
      <w:r>
        <w:rPr>
          <w:rFonts w:ascii="Times New Roman" w:hAnsi="Times New Roman" w:cs="Consolas"/>
          <w:sz w:val="22"/>
          <w:szCs w:val="22"/>
        </w:rPr>
        <w:t xml:space="preserve"> André </w:t>
      </w:r>
      <w:proofErr w:type="spellStart"/>
      <w:r>
        <w:rPr>
          <w:rFonts w:ascii="Times New Roman" w:hAnsi="Times New Roman" w:cs="Consolas"/>
          <w:sz w:val="22"/>
          <w:szCs w:val="22"/>
        </w:rPr>
        <w:t>Sperotto</w:t>
      </w:r>
      <w:proofErr w:type="spellEnd"/>
    </w:p>
    <w:p w:rsidR="00110527" w:rsidRDefault="008322D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110527" w:rsidRDefault="008322D3">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para prestação de serviços em Fonoaudiologia para as Escolas Municipais da Secretaria Municipal de Educação do Município de Viadutos/RS</w:t>
      </w:r>
      <w:r>
        <w:rPr>
          <w:rFonts w:ascii="Times New Roman" w:hAnsi="Times New Roman" w:cs="Consolas"/>
          <w:sz w:val="22"/>
          <w:szCs w:val="22"/>
        </w:rPr>
        <w:t>, QUE FIRMAM O MUNICÍPIO DE VIADUTOS E A EMPRESA XXXX.</w:t>
      </w:r>
    </w:p>
    <w:p w:rsidR="00110527" w:rsidRDefault="00110527">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pPr>
      <w:r>
        <w:rPr>
          <w:rFonts w:ascii="Times New Roman" w:hAnsi="Times New Roman" w:cs="Consolas"/>
          <w:sz w:val="22"/>
          <w:szCs w:val="22"/>
        </w:rPr>
        <w:t>Aos 10/02/25,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w:t>
      </w:r>
      <w:proofErr w:type="spellStart"/>
      <w:r>
        <w:rPr>
          <w:rFonts w:ascii="Times New Roman" w:hAnsi="Times New Roman" w:cs="Consolas"/>
          <w:sz w:val="22"/>
          <w:szCs w:val="22"/>
        </w:rPr>
        <w:t>Giovan</w:t>
      </w:r>
      <w:proofErr w:type="spellEnd"/>
      <w:r>
        <w:rPr>
          <w:rFonts w:ascii="Times New Roman" w:hAnsi="Times New Roman" w:cs="Consolas"/>
          <w:sz w:val="22"/>
          <w:szCs w:val="22"/>
        </w:rPr>
        <w:t xml:space="preserve"> André </w:t>
      </w:r>
      <w:proofErr w:type="spellStart"/>
      <w:r>
        <w:rPr>
          <w:rFonts w:ascii="Times New Roman" w:hAnsi="Times New Roman" w:cs="Consolas"/>
          <w:sz w:val="22"/>
          <w:szCs w:val="22"/>
        </w:rPr>
        <w:t>Sperotto</w:t>
      </w:r>
      <w:proofErr w:type="spellEnd"/>
      <w:r>
        <w:rPr>
          <w:rFonts w:ascii="Times New Roman" w:hAnsi="Times New Roman" w:cs="Consolas"/>
          <w:sz w:val="22"/>
          <w:szCs w:val="22"/>
        </w:rPr>
        <w:t xml:space="preserve">,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110527" w:rsidRDefault="00110527"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110527" w:rsidRDefault="00110527"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4/2025, </w:t>
      </w:r>
      <w:r>
        <w:rPr>
          <w:rFonts w:ascii="Times New Roman" w:hAnsi="Times New Roman" w:cs="Consolas"/>
          <w:b/>
          <w:bCs/>
          <w:sz w:val="22"/>
          <w:szCs w:val="22"/>
        </w:rPr>
        <w:t>Processo nº 67</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10527" w:rsidRDefault="00110527"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para prestação de serviços em Fonoaudiologia para as Escolas Municipais da Secretaria Municipal de Educação do Município de Viadutos/RS</w:t>
      </w:r>
      <w:r>
        <w:rPr>
          <w:rFonts w:ascii="Times New Roman" w:hAnsi="Times New Roman" w:cs="Consolas"/>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944"/>
        <w:gridCol w:w="947"/>
        <w:gridCol w:w="2843"/>
        <w:gridCol w:w="1490"/>
        <w:gridCol w:w="1379"/>
        <w:gridCol w:w="1184"/>
        <w:gridCol w:w="1014"/>
      </w:tblGrid>
      <w:tr w:rsidR="000337E2" w:rsidTr="000337E2">
        <w:tc>
          <w:tcPr>
            <w:tcW w:w="944" w:type="dxa"/>
            <w:tcBorders>
              <w:top w:val="single" w:sz="2" w:space="0" w:color="000000"/>
              <w:left w:val="single" w:sz="2" w:space="0" w:color="000000"/>
              <w:bottom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Lote</w:t>
            </w:r>
          </w:p>
        </w:tc>
        <w:tc>
          <w:tcPr>
            <w:tcW w:w="947" w:type="dxa"/>
            <w:tcBorders>
              <w:top w:val="single" w:sz="2" w:space="0" w:color="000000"/>
              <w:left w:val="single" w:sz="2" w:space="0" w:color="000000"/>
              <w:bottom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Item</w:t>
            </w:r>
          </w:p>
        </w:tc>
        <w:tc>
          <w:tcPr>
            <w:tcW w:w="2843" w:type="dxa"/>
            <w:tcBorders>
              <w:top w:val="single" w:sz="2" w:space="0" w:color="000000"/>
              <w:left w:val="single" w:sz="2" w:space="0" w:color="000000"/>
              <w:bottom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Descrição</w:t>
            </w:r>
          </w:p>
        </w:tc>
        <w:tc>
          <w:tcPr>
            <w:tcW w:w="1490" w:type="dxa"/>
            <w:tcBorders>
              <w:top w:val="single" w:sz="2" w:space="0" w:color="000000"/>
              <w:left w:val="single" w:sz="2" w:space="0" w:color="000000"/>
              <w:bottom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Quantidade</w:t>
            </w:r>
          </w:p>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Semanal</w:t>
            </w:r>
          </w:p>
        </w:tc>
        <w:tc>
          <w:tcPr>
            <w:tcW w:w="1379" w:type="dxa"/>
            <w:tcBorders>
              <w:top w:val="single" w:sz="2" w:space="0" w:color="000000"/>
              <w:left w:val="single" w:sz="2" w:space="0" w:color="000000"/>
              <w:bottom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Unidade</w:t>
            </w:r>
          </w:p>
        </w:tc>
        <w:tc>
          <w:tcPr>
            <w:tcW w:w="1184" w:type="dxa"/>
            <w:tcBorders>
              <w:top w:val="single" w:sz="2" w:space="0" w:color="000000"/>
              <w:left w:val="single" w:sz="2" w:space="0" w:color="000000"/>
              <w:bottom w:val="single" w:sz="2" w:space="0" w:color="000000"/>
              <w:right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Unitário</w:t>
            </w:r>
          </w:p>
        </w:tc>
        <w:tc>
          <w:tcPr>
            <w:tcW w:w="1014" w:type="dxa"/>
            <w:tcBorders>
              <w:top w:val="single" w:sz="2" w:space="0" w:color="000000"/>
              <w:left w:val="single" w:sz="2" w:space="0" w:color="000000"/>
              <w:bottom w:val="single" w:sz="2" w:space="0" w:color="000000"/>
              <w:right w:val="single" w:sz="2" w:space="0" w:color="000000"/>
            </w:tcBorders>
          </w:tcPr>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 xml:space="preserve">Total </w:t>
            </w:r>
          </w:p>
          <w:p w:rsidR="000337E2" w:rsidRDefault="000337E2" w:rsidP="008751F6">
            <w:pPr>
              <w:pStyle w:val="Standard"/>
              <w:jc w:val="both"/>
              <w:rPr>
                <w:rFonts w:ascii="Times New Roman" w:hAnsi="Times New Roman" w:cs="Times New Roman"/>
                <w:b/>
                <w:bCs/>
                <w:sz w:val="22"/>
                <w:szCs w:val="22"/>
              </w:rPr>
            </w:pPr>
            <w:r>
              <w:rPr>
                <w:rFonts w:ascii="Times New Roman" w:hAnsi="Times New Roman" w:cs="Times New Roman"/>
                <w:b/>
                <w:bCs/>
                <w:sz w:val="22"/>
                <w:szCs w:val="22"/>
              </w:rPr>
              <w:t>Semanal</w:t>
            </w:r>
          </w:p>
        </w:tc>
      </w:tr>
      <w:tr w:rsidR="000337E2" w:rsidTr="000337E2">
        <w:tc>
          <w:tcPr>
            <w:tcW w:w="944" w:type="dxa"/>
            <w:tcBorders>
              <w:left w:val="single" w:sz="2" w:space="0" w:color="000000"/>
              <w:bottom w:val="single" w:sz="2" w:space="0" w:color="000000"/>
            </w:tcBorders>
          </w:tcPr>
          <w:p w:rsidR="000337E2" w:rsidRDefault="000337E2" w:rsidP="008751F6">
            <w:pPr>
              <w:pStyle w:val="Contedodatabela"/>
              <w:jc w:val="both"/>
            </w:pPr>
          </w:p>
        </w:tc>
        <w:tc>
          <w:tcPr>
            <w:tcW w:w="947" w:type="dxa"/>
            <w:tcBorders>
              <w:left w:val="single" w:sz="2" w:space="0" w:color="000000"/>
              <w:bottom w:val="single" w:sz="2" w:space="0" w:color="000000"/>
            </w:tcBorders>
          </w:tcPr>
          <w:p w:rsidR="000337E2" w:rsidRDefault="000337E2" w:rsidP="008751F6">
            <w:pPr>
              <w:pStyle w:val="Contedodatabela"/>
              <w:jc w:val="both"/>
            </w:pPr>
          </w:p>
        </w:tc>
        <w:tc>
          <w:tcPr>
            <w:tcW w:w="2843" w:type="dxa"/>
            <w:tcBorders>
              <w:left w:val="single" w:sz="2" w:space="0" w:color="000000"/>
              <w:bottom w:val="single" w:sz="2" w:space="0" w:color="000000"/>
            </w:tcBorders>
          </w:tcPr>
          <w:p w:rsidR="000337E2" w:rsidRDefault="000337E2" w:rsidP="008751F6">
            <w:pPr>
              <w:pStyle w:val="Contedodatabela"/>
              <w:jc w:val="both"/>
            </w:pPr>
          </w:p>
        </w:tc>
        <w:tc>
          <w:tcPr>
            <w:tcW w:w="1490" w:type="dxa"/>
            <w:tcBorders>
              <w:left w:val="single" w:sz="2" w:space="0" w:color="000000"/>
              <w:bottom w:val="single" w:sz="2" w:space="0" w:color="000000"/>
            </w:tcBorders>
          </w:tcPr>
          <w:p w:rsidR="000337E2" w:rsidRDefault="000337E2" w:rsidP="008751F6">
            <w:pPr>
              <w:pStyle w:val="Contedodatabela"/>
              <w:jc w:val="both"/>
            </w:pPr>
          </w:p>
        </w:tc>
        <w:tc>
          <w:tcPr>
            <w:tcW w:w="1379" w:type="dxa"/>
            <w:tcBorders>
              <w:left w:val="single" w:sz="2" w:space="0" w:color="000000"/>
              <w:bottom w:val="single" w:sz="2" w:space="0" w:color="000000"/>
            </w:tcBorders>
          </w:tcPr>
          <w:p w:rsidR="000337E2" w:rsidRDefault="000337E2" w:rsidP="008751F6">
            <w:pPr>
              <w:pStyle w:val="Contedodatabela"/>
              <w:jc w:val="both"/>
            </w:pPr>
          </w:p>
        </w:tc>
        <w:tc>
          <w:tcPr>
            <w:tcW w:w="1184" w:type="dxa"/>
            <w:tcBorders>
              <w:left w:val="single" w:sz="2" w:space="0" w:color="000000"/>
              <w:bottom w:val="single" w:sz="2" w:space="0" w:color="000000"/>
              <w:right w:val="single" w:sz="2" w:space="0" w:color="000000"/>
            </w:tcBorders>
          </w:tcPr>
          <w:p w:rsidR="000337E2" w:rsidRDefault="000337E2" w:rsidP="008751F6">
            <w:pPr>
              <w:pStyle w:val="Contedodatabela"/>
              <w:jc w:val="both"/>
            </w:pPr>
          </w:p>
        </w:tc>
        <w:tc>
          <w:tcPr>
            <w:tcW w:w="1014" w:type="dxa"/>
            <w:tcBorders>
              <w:left w:val="single" w:sz="2" w:space="0" w:color="000000"/>
              <w:bottom w:val="single" w:sz="2" w:space="0" w:color="000000"/>
              <w:right w:val="single" w:sz="2" w:space="0" w:color="000000"/>
            </w:tcBorders>
          </w:tcPr>
          <w:p w:rsidR="000337E2" w:rsidRDefault="000337E2" w:rsidP="008751F6">
            <w:pPr>
              <w:pStyle w:val="Contedodatabela"/>
              <w:jc w:val="both"/>
            </w:pPr>
          </w:p>
        </w:tc>
      </w:tr>
    </w:tbl>
    <w:p w:rsidR="00110527" w:rsidRDefault="00110527" w:rsidP="008751F6">
      <w:pPr>
        <w:spacing w:line="276" w:lineRule="auto"/>
        <w:jc w:val="both"/>
        <w:rPr>
          <w:rFonts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8751F6" w:rsidRDefault="008751F6" w:rsidP="008751F6">
      <w:pPr>
        <w:pStyle w:val="Standard"/>
        <w:spacing w:line="276" w:lineRule="auto"/>
        <w:jc w:val="both"/>
      </w:pPr>
      <w:r>
        <w:rPr>
          <w:rFonts w:ascii="Times New Roman" w:hAnsi="Times New Roman" w:cs="Consolas"/>
          <w:sz w:val="22"/>
          <w:szCs w:val="22"/>
        </w:rPr>
        <w:t>O contrato terá validade de 5 anos a partir da data de sua assinatura, sendo corrigido pelo IPCA anualmente, conforme disposto no artigo 106 da lei 14.133/2021, podendo renovado por igual período.</w:t>
      </w:r>
    </w:p>
    <w:p w:rsidR="008751F6" w:rsidRDefault="008751F6"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110527" w:rsidRPr="008751F6" w:rsidRDefault="008322D3" w:rsidP="008751F6">
      <w:pPr>
        <w:pStyle w:val="Standard"/>
        <w:spacing w:line="276" w:lineRule="auto"/>
        <w:jc w:val="both"/>
        <w:rPr>
          <w:rFonts w:ascii="Times New Roman" w:hAnsi="Times New Roman" w:cs="Consolas"/>
          <w:sz w:val="22"/>
          <w:szCs w:val="22"/>
        </w:rPr>
      </w:pPr>
      <w:r w:rsidRPr="008751F6">
        <w:rPr>
          <w:rFonts w:ascii="Times New Roman" w:hAnsi="Times New Roman" w:cs="Consolas"/>
          <w:sz w:val="22"/>
          <w:szCs w:val="22"/>
        </w:rPr>
        <w:t xml:space="preserve">O preço a ser pago pelo fornecimento do objeto do presente contrato é de R$ </w:t>
      </w:r>
      <w:proofErr w:type="spellStart"/>
      <w:r w:rsidRPr="008751F6">
        <w:rPr>
          <w:rFonts w:ascii="Times New Roman" w:hAnsi="Times New Roman" w:cs="Consolas"/>
          <w:sz w:val="22"/>
          <w:szCs w:val="22"/>
        </w:rPr>
        <w:t>xxx</w:t>
      </w:r>
      <w:proofErr w:type="spellEnd"/>
      <w:r w:rsidRPr="008751F6">
        <w:rPr>
          <w:rFonts w:ascii="Times New Roman" w:hAnsi="Times New Roman" w:cs="Consolas"/>
          <w:sz w:val="22"/>
          <w:szCs w:val="22"/>
        </w:rPr>
        <w:t xml:space="preserve"> (</w:t>
      </w:r>
      <w:proofErr w:type="spellStart"/>
      <w:r w:rsidRPr="008751F6">
        <w:rPr>
          <w:rFonts w:ascii="Times New Roman" w:hAnsi="Times New Roman" w:cs="Consolas"/>
          <w:sz w:val="22"/>
          <w:szCs w:val="22"/>
        </w:rPr>
        <w:t>rxxx</w:t>
      </w:r>
      <w:proofErr w:type="spellEnd"/>
      <w:r w:rsidRPr="008751F6">
        <w:rPr>
          <w:rFonts w:ascii="Times New Roman" w:hAnsi="Times New Roman" w:cs="Consolas"/>
          <w:sz w:val="22"/>
          <w:szCs w:val="22"/>
        </w:rPr>
        <w:t>), conforme a proposta ofertada pela CONTRATADA.</w:t>
      </w:r>
    </w:p>
    <w:p w:rsidR="008751F6" w:rsidRDefault="008751F6" w:rsidP="008751F6">
      <w:pPr>
        <w:pStyle w:val="Standard"/>
        <w:spacing w:line="276" w:lineRule="auto"/>
        <w:jc w:val="both"/>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8751F6">
        <w:rPr>
          <w:rFonts w:ascii="Times New Roman" w:hAnsi="Times New Roman" w:cs="Consolas"/>
          <w:sz w:val="22"/>
          <w:szCs w:val="22"/>
        </w:rPr>
        <w:t>pagamento será efetuado em até 1</w:t>
      </w:r>
      <w:r>
        <w:rPr>
          <w:rFonts w:ascii="Times New Roman" w:hAnsi="Times New Roman" w:cs="Consolas"/>
          <w:sz w:val="22"/>
          <w:szCs w:val="22"/>
        </w:rPr>
        <w:t xml:space="preserve">0 dias após a prestação dos serviços, mediante a entrega do objeto e a apresentação de nota fiscal e aprovação da fiscalização da CONTRATANTE. </w:t>
      </w:r>
    </w:p>
    <w:p w:rsidR="008751F6" w:rsidRPr="008751F6" w:rsidRDefault="008751F6" w:rsidP="008751F6">
      <w:pPr>
        <w:pStyle w:val="Corpodetexto2"/>
        <w:jc w:val="both"/>
        <w:rPr>
          <w:b w:val="0"/>
          <w:sz w:val="22"/>
          <w:szCs w:val="22"/>
        </w:rPr>
      </w:pPr>
      <w:r w:rsidRPr="008751F6">
        <w:rPr>
          <w:b w:val="0"/>
          <w:sz w:val="22"/>
          <w:szCs w:val="22"/>
        </w:rPr>
        <w:t xml:space="preserve">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8751F6" w:rsidRPr="008751F6" w:rsidRDefault="008751F6" w:rsidP="008751F6">
      <w:pPr>
        <w:widowControl w:val="0"/>
        <w:autoSpaceDN w:val="0"/>
        <w:adjustRightInd w:val="0"/>
        <w:jc w:val="both"/>
        <w:rPr>
          <w:sz w:val="22"/>
          <w:szCs w:val="22"/>
        </w:rPr>
      </w:pPr>
      <w:r w:rsidRPr="008751F6">
        <w:rPr>
          <w:sz w:val="22"/>
          <w:szCs w:val="22"/>
        </w:rPr>
        <w:t>Constituirá encargo exclusivo da CONTRATADA o pagamento de tributos municipais (ISSQN), estaduais, federais incidentes, tarifas, emolumentos e despesas decorrentes da formalização deste contrato e da execução de seu objeto.</w:t>
      </w:r>
    </w:p>
    <w:p w:rsidR="008751F6" w:rsidRPr="008751F6" w:rsidRDefault="008751F6" w:rsidP="008751F6">
      <w:pPr>
        <w:widowControl w:val="0"/>
        <w:jc w:val="both"/>
        <w:rPr>
          <w:sz w:val="22"/>
          <w:szCs w:val="22"/>
        </w:rPr>
      </w:pPr>
      <w:r w:rsidRPr="008751F6">
        <w:rPr>
          <w:sz w:val="22"/>
          <w:szCs w:val="22"/>
        </w:rPr>
        <w:t xml:space="preserve">No valor contratado deverão estar incluídas todas as despesas com transportes, impostos, taxas, contribuições fiscais e </w:t>
      </w:r>
      <w:proofErr w:type="spellStart"/>
      <w:r w:rsidRPr="008751F6">
        <w:rPr>
          <w:sz w:val="22"/>
          <w:szCs w:val="22"/>
        </w:rPr>
        <w:t>parafiscais</w:t>
      </w:r>
      <w:proofErr w:type="spellEnd"/>
      <w:r w:rsidRPr="008751F6">
        <w:rPr>
          <w:sz w:val="22"/>
          <w:szCs w:val="22"/>
        </w:rPr>
        <w:t>, leis sociais, demais serviços que possam acarretar ônus ao Município, especificados ou não no presente contrato.</w:t>
      </w:r>
    </w:p>
    <w:p w:rsidR="008751F6" w:rsidRDefault="008751F6"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0337E2">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110527">
        <w:tc>
          <w:tcPr>
            <w:tcW w:w="3212" w:type="dxa"/>
            <w:tcBorders>
              <w:top w:val="single" w:sz="2" w:space="0" w:color="000000"/>
              <w:left w:val="single" w:sz="2" w:space="0" w:color="000000"/>
              <w:bottom w:val="single" w:sz="2" w:space="0" w:color="000000"/>
            </w:tcBorders>
          </w:tcPr>
          <w:p w:rsidR="00110527" w:rsidRDefault="008322D3" w:rsidP="008751F6">
            <w:pPr>
              <w:pStyle w:val="Contedodatabela"/>
              <w:spacing w:line="276" w:lineRule="auto"/>
              <w:jc w:val="both"/>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10527" w:rsidRDefault="008322D3" w:rsidP="008751F6">
            <w:pPr>
              <w:pStyle w:val="Contedodatabela"/>
              <w:spacing w:line="276" w:lineRule="auto"/>
              <w:jc w:val="both"/>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10527" w:rsidRDefault="008322D3" w:rsidP="008751F6">
            <w:pPr>
              <w:pStyle w:val="Contedodatabela"/>
              <w:spacing w:line="276" w:lineRule="auto"/>
              <w:jc w:val="both"/>
              <w:rPr>
                <w:b/>
                <w:bCs/>
                <w:sz w:val="22"/>
                <w:szCs w:val="22"/>
              </w:rPr>
            </w:pPr>
            <w:r>
              <w:rPr>
                <w:b/>
                <w:bCs/>
                <w:sz w:val="22"/>
                <w:szCs w:val="22"/>
              </w:rPr>
              <w:t>Recurso Vinculado</w:t>
            </w:r>
          </w:p>
        </w:tc>
      </w:tr>
      <w:tr w:rsidR="00110527">
        <w:tc>
          <w:tcPr>
            <w:tcW w:w="3212" w:type="dxa"/>
            <w:tcBorders>
              <w:left w:val="single" w:sz="2" w:space="0" w:color="000000"/>
              <w:bottom w:val="single" w:sz="2" w:space="0" w:color="000000"/>
            </w:tcBorders>
          </w:tcPr>
          <w:p w:rsidR="00110527" w:rsidRDefault="008322D3" w:rsidP="008751F6">
            <w:pPr>
              <w:pStyle w:val="Contedodatabela"/>
              <w:spacing w:line="276" w:lineRule="auto"/>
              <w:jc w:val="both"/>
              <w:rPr>
                <w:sz w:val="22"/>
                <w:szCs w:val="22"/>
              </w:rPr>
            </w:pPr>
            <w:r>
              <w:rPr>
                <w:sz w:val="22"/>
                <w:szCs w:val="22"/>
              </w:rPr>
              <w:t>1430</w:t>
            </w:r>
          </w:p>
        </w:tc>
        <w:tc>
          <w:tcPr>
            <w:tcW w:w="3212" w:type="dxa"/>
            <w:tcBorders>
              <w:left w:val="single" w:sz="2" w:space="0" w:color="000000"/>
              <w:bottom w:val="single" w:sz="2" w:space="0" w:color="000000"/>
            </w:tcBorders>
          </w:tcPr>
          <w:p w:rsidR="00110527" w:rsidRDefault="008322D3" w:rsidP="008751F6">
            <w:pPr>
              <w:pStyle w:val="Contedodatabela"/>
              <w:spacing w:line="276" w:lineRule="auto"/>
              <w:jc w:val="both"/>
              <w:rPr>
                <w:sz w:val="22"/>
                <w:szCs w:val="22"/>
              </w:rPr>
            </w:pPr>
            <w:r>
              <w:rPr>
                <w:sz w:val="22"/>
                <w:szCs w:val="22"/>
              </w:rPr>
              <w:t>339039050000</w:t>
            </w:r>
          </w:p>
        </w:tc>
        <w:tc>
          <w:tcPr>
            <w:tcW w:w="3213" w:type="dxa"/>
            <w:tcBorders>
              <w:left w:val="single" w:sz="2" w:space="0" w:color="000000"/>
              <w:bottom w:val="single" w:sz="2" w:space="0" w:color="000000"/>
              <w:right w:val="single" w:sz="2" w:space="0" w:color="000000"/>
            </w:tcBorders>
          </w:tcPr>
          <w:p w:rsidR="00110527" w:rsidRDefault="008322D3" w:rsidP="008751F6">
            <w:pPr>
              <w:pStyle w:val="Contedodatabela"/>
              <w:spacing w:line="276" w:lineRule="auto"/>
              <w:jc w:val="both"/>
              <w:rPr>
                <w:sz w:val="22"/>
                <w:szCs w:val="22"/>
              </w:rPr>
            </w:pPr>
            <w:r>
              <w:rPr>
                <w:sz w:val="22"/>
                <w:szCs w:val="22"/>
              </w:rPr>
              <w:t>1500</w:t>
            </w:r>
          </w:p>
        </w:tc>
      </w:tr>
    </w:tbl>
    <w:p w:rsidR="00110527" w:rsidRDefault="00110527"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0337E2" w:rsidRPr="008751F6" w:rsidRDefault="000337E2" w:rsidP="008751F6">
      <w:pPr>
        <w:autoSpaceDN w:val="0"/>
        <w:adjustRightInd w:val="0"/>
        <w:jc w:val="both"/>
        <w:rPr>
          <w:sz w:val="22"/>
          <w:szCs w:val="22"/>
        </w:rPr>
      </w:pPr>
      <w:r w:rsidRPr="008751F6">
        <w:rPr>
          <w:sz w:val="22"/>
          <w:szCs w:val="22"/>
        </w:rPr>
        <w:t xml:space="preserve">Os serviços serão fiscalizados pela Secretaria Municipal de Educação, dentro dos padrões determinados pela </w:t>
      </w:r>
      <w:r w:rsidRPr="008751F6">
        <w:rPr>
          <w:rFonts w:cs="Consolas"/>
          <w:sz w:val="22"/>
          <w:szCs w:val="22"/>
        </w:rPr>
        <w:t>Lei Federal nº 14.133/2021 (inclusive nos casos omissos), suas alterações e demais dispositivos legais aplicáveis.</w:t>
      </w:r>
      <w:r w:rsidRPr="008751F6">
        <w:rPr>
          <w:sz w:val="22"/>
          <w:szCs w:val="22"/>
        </w:rPr>
        <w:t xml:space="preserve"> </w:t>
      </w:r>
    </w:p>
    <w:p w:rsidR="000337E2" w:rsidRPr="008751F6" w:rsidRDefault="000337E2" w:rsidP="008751F6">
      <w:pPr>
        <w:autoSpaceDN w:val="0"/>
        <w:adjustRightInd w:val="0"/>
        <w:jc w:val="both"/>
        <w:rPr>
          <w:sz w:val="22"/>
          <w:szCs w:val="22"/>
        </w:rPr>
      </w:pPr>
      <w:r w:rsidRPr="008751F6">
        <w:rPr>
          <w:sz w:val="22"/>
          <w:szCs w:val="22"/>
        </w:rPr>
        <w:t>Cabe ao CONTRATANTE, a seu critério e através da Secretaria Municipal de Educação, exercer ampla, irrestrita e permanente fiscalização de todas as fases de execução dos serviços contratados e do comportamento da CONTRATADA.</w:t>
      </w:r>
    </w:p>
    <w:p w:rsidR="008751F6" w:rsidRDefault="000337E2" w:rsidP="008751F6">
      <w:pPr>
        <w:jc w:val="both"/>
        <w:rPr>
          <w:sz w:val="22"/>
          <w:szCs w:val="22"/>
        </w:rPr>
      </w:pPr>
      <w:r w:rsidRPr="008751F6">
        <w:rPr>
          <w:sz w:val="22"/>
          <w:szCs w:val="22"/>
        </w:rPr>
        <w:t>É vedada à CONTRATADA a subcontratação total ou parcial do objeto do presente contrato com outrem, a cessão ou t</w:t>
      </w:r>
      <w:r w:rsidR="008751F6">
        <w:rPr>
          <w:sz w:val="22"/>
          <w:szCs w:val="22"/>
        </w:rPr>
        <w:t>ransferência, total ou parcial.</w:t>
      </w:r>
    </w:p>
    <w:p w:rsidR="000337E2" w:rsidRPr="008751F6" w:rsidRDefault="000337E2" w:rsidP="008751F6">
      <w:pPr>
        <w:jc w:val="both"/>
        <w:rPr>
          <w:sz w:val="22"/>
          <w:szCs w:val="22"/>
        </w:rPr>
      </w:pPr>
      <w:r w:rsidRPr="008751F6">
        <w:rPr>
          <w:sz w:val="22"/>
          <w:szCs w:val="22"/>
        </w:rPr>
        <w:t>A responsabilidade civil e criminal decorrente de todos os atos praticados pelos seus empregados ou prepostos utilizados na execução dos serviços que lhe são inerentes por força do presente contrato, correrão por conta exclusiva da CONTRATADA.</w:t>
      </w:r>
    </w:p>
    <w:p w:rsidR="000337E2" w:rsidRPr="008751F6" w:rsidRDefault="000337E2" w:rsidP="008751F6">
      <w:pPr>
        <w:autoSpaceDN w:val="0"/>
        <w:adjustRightInd w:val="0"/>
        <w:jc w:val="both"/>
        <w:rPr>
          <w:sz w:val="22"/>
          <w:szCs w:val="22"/>
        </w:rPr>
      </w:pPr>
      <w:r w:rsidRPr="008751F6">
        <w:rPr>
          <w:sz w:val="22"/>
          <w:szCs w:val="22"/>
        </w:rPr>
        <w:t>A CONTRATADA declara aceitar, integralmente, todos os métodos e processos de inspeção, verificação e controle a serem adotados pelo CONTRATANTE.</w:t>
      </w:r>
    </w:p>
    <w:p w:rsidR="000337E2" w:rsidRPr="008751F6" w:rsidRDefault="000337E2" w:rsidP="008751F6">
      <w:pPr>
        <w:autoSpaceDN w:val="0"/>
        <w:adjustRightInd w:val="0"/>
        <w:jc w:val="both"/>
        <w:rPr>
          <w:sz w:val="22"/>
          <w:szCs w:val="22"/>
        </w:rPr>
      </w:pPr>
      <w:r w:rsidRPr="008751F6">
        <w:rPr>
          <w:sz w:val="22"/>
          <w:szCs w:val="22"/>
        </w:rPr>
        <w:t>A existência e a atuação da Fiscalização do CONTRATANTE em nada restringe a responsabilidade única, integral e exclusiva da CONTRATADA, no que concerne aos serviços contratados e suas consequências e implicações próximas ou remotas.</w:t>
      </w:r>
    </w:p>
    <w:p w:rsidR="00110527" w:rsidRDefault="008322D3" w:rsidP="008751F6">
      <w:pPr>
        <w:pStyle w:val="Standard"/>
        <w:spacing w:line="276" w:lineRule="auto"/>
        <w:jc w:val="both"/>
      </w:pPr>
      <w:r>
        <w:rPr>
          <w:rFonts w:ascii="Times New Roman" w:hAnsi="Times New Roman" w:cs="Consolas"/>
          <w:sz w:val="22"/>
          <w:szCs w:val="22"/>
        </w:rPr>
        <w:t>.</w:t>
      </w: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10527" w:rsidRDefault="00110527"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110527" w:rsidRDefault="00110527" w:rsidP="008751F6">
      <w:pPr>
        <w:pStyle w:val="Standard"/>
        <w:spacing w:line="276" w:lineRule="auto"/>
        <w:jc w:val="both"/>
        <w:rPr>
          <w:rFonts w:ascii="Times New Roman" w:hAnsi="Times New Roman" w:cs="Consolas"/>
          <w:sz w:val="22"/>
          <w:szCs w:val="22"/>
        </w:rPr>
      </w:pPr>
    </w:p>
    <w:p w:rsidR="00110527" w:rsidRDefault="008322D3" w:rsidP="008751F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110527" w:rsidRDefault="008322D3" w:rsidP="008751F6">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110527" w:rsidRDefault="008322D3" w:rsidP="008751F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110527" w:rsidRDefault="00110527">
      <w:pPr>
        <w:pStyle w:val="Standard"/>
        <w:spacing w:line="276" w:lineRule="auto"/>
        <w:jc w:val="both"/>
        <w:rPr>
          <w:rFonts w:ascii="Times New Roman" w:hAnsi="Times New Roman" w:cs="Consolas"/>
          <w:sz w:val="22"/>
          <w:szCs w:val="22"/>
        </w:rPr>
      </w:pPr>
    </w:p>
    <w:p w:rsidR="00110527" w:rsidRDefault="008322D3">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110527" w:rsidRDefault="00110527">
      <w:pPr>
        <w:pStyle w:val="Standard"/>
        <w:spacing w:line="276" w:lineRule="auto"/>
        <w:jc w:val="center"/>
        <w:rPr>
          <w:rFonts w:ascii="Times New Roman" w:hAnsi="Times New Roman" w:cs="Consolas"/>
          <w:sz w:val="22"/>
          <w:szCs w:val="22"/>
        </w:rPr>
      </w:pPr>
    </w:p>
    <w:p w:rsidR="00110527" w:rsidRDefault="008322D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110527" w:rsidRDefault="008322D3">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110527" w:rsidRDefault="008322D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110527" w:rsidSect="004F2F2B">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40" w:rsidRDefault="008322D3">
      <w:r>
        <w:separator/>
      </w:r>
    </w:p>
  </w:endnote>
  <w:endnote w:type="continuationSeparator" w:id="0">
    <w:p w:rsidR="00DE5440" w:rsidRDefault="0083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27" w:rsidRDefault="008322D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110527" w:rsidRDefault="008322D3">
                          <w:pPr>
                            <w:pStyle w:val="Rodap"/>
                          </w:pPr>
                          <w:r>
                            <w:rPr>
                              <w:rStyle w:val="Nmerodepgina"/>
                              <w:sz w:val="16"/>
                            </w:rPr>
                            <w:fldChar w:fldCharType="begin"/>
                          </w:r>
                          <w:r>
                            <w:rPr>
                              <w:rStyle w:val="Nmerodepgina"/>
                              <w:sz w:val="16"/>
                            </w:rPr>
                            <w:instrText>PAGE</w:instrText>
                          </w:r>
                          <w:r>
                            <w:rPr>
                              <w:rStyle w:val="Nmerodepgina"/>
                              <w:sz w:val="16"/>
                            </w:rPr>
                            <w:fldChar w:fldCharType="separate"/>
                          </w:r>
                          <w:r w:rsidR="00703BE8">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110527" w:rsidRDefault="008322D3">
                    <w:pPr>
                      <w:pStyle w:val="Rodap"/>
                    </w:pPr>
                    <w:r>
                      <w:rPr>
                        <w:rStyle w:val="Nmerodepgina"/>
                        <w:sz w:val="16"/>
                      </w:rPr>
                      <w:fldChar w:fldCharType="begin"/>
                    </w:r>
                    <w:r>
                      <w:rPr>
                        <w:rStyle w:val="Nmerodepgina"/>
                        <w:sz w:val="16"/>
                      </w:rPr>
                      <w:instrText>PAGE</w:instrText>
                    </w:r>
                    <w:r>
                      <w:rPr>
                        <w:rStyle w:val="Nmerodepgina"/>
                        <w:sz w:val="16"/>
                      </w:rPr>
                      <w:fldChar w:fldCharType="separate"/>
                    </w:r>
                    <w:r w:rsidR="00703BE8">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40" w:rsidRDefault="008322D3">
      <w:r>
        <w:separator/>
      </w:r>
    </w:p>
  </w:footnote>
  <w:footnote w:type="continuationSeparator" w:id="0">
    <w:p w:rsidR="00DE5440" w:rsidRDefault="00832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27" w:rsidRDefault="008322D3">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110527" w:rsidRDefault="008322D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110527" w:rsidRDefault="00110527">
    <w:pPr>
      <w:tabs>
        <w:tab w:val="center" w:pos="4419"/>
        <w:tab w:val="right" w:pos="8838"/>
      </w:tabs>
      <w:overflowPunct/>
      <w:autoSpaceDE/>
      <w:textAlignment w:val="auto"/>
      <w:rPr>
        <w:rFonts w:ascii="Arial" w:hAnsi="Arial" w:cs="Arial"/>
        <w:sz w:val="22"/>
        <w:lang w:eastAsia="pt-BR"/>
      </w:rPr>
    </w:pPr>
  </w:p>
  <w:p w:rsidR="00110527" w:rsidRDefault="0011052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72637"/>
    <w:multiLevelType w:val="multilevel"/>
    <w:tmpl w:val="7EE477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10527"/>
    <w:rsid w:val="000337E2"/>
    <w:rsid w:val="00110527"/>
    <w:rsid w:val="00357CF9"/>
    <w:rsid w:val="004248D7"/>
    <w:rsid w:val="004F2F2B"/>
    <w:rsid w:val="006842DB"/>
    <w:rsid w:val="00703BE8"/>
    <w:rsid w:val="008322D3"/>
    <w:rsid w:val="008751F6"/>
    <w:rsid w:val="00894EF4"/>
    <w:rsid w:val="00964A10"/>
    <w:rsid w:val="00981B92"/>
    <w:rsid w:val="0098390F"/>
    <w:rsid w:val="00DE5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1E336-81C4-4CD2-A8F0-8B8EA304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13</Pages>
  <Words>6019</Words>
  <Characters>32507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37</cp:revision>
  <cp:lastPrinted>2025-02-12T14:29:00Z</cp:lastPrinted>
  <dcterms:created xsi:type="dcterms:W3CDTF">2023-06-05T10:43:00Z</dcterms:created>
  <dcterms:modified xsi:type="dcterms:W3CDTF">2025-02-12T16:49:00Z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