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19F" w:rsidRDefault="00FB6C8C">
      <w:pPr>
        <w:spacing w:line="276" w:lineRule="auto"/>
        <w:jc w:val="center"/>
        <w:rPr>
          <w:sz w:val="24"/>
          <w:szCs w:val="24"/>
        </w:rPr>
      </w:pPr>
      <w:r>
        <w:rPr>
          <w:sz w:val="24"/>
          <w:szCs w:val="24"/>
        </w:rPr>
        <w:tab/>
      </w:r>
      <w:r>
        <w:rPr>
          <w:rFonts w:ascii="Arial" w:hAnsi="Arial"/>
          <w:sz w:val="24"/>
          <w:szCs w:val="24"/>
        </w:rPr>
        <w:t>AVISO DE DISPENSA LICITAÇÃO Nº99/2026</w:t>
      </w:r>
    </w:p>
    <w:p w:rsidR="000A019F" w:rsidRDefault="000A019F">
      <w:pPr>
        <w:spacing w:line="276" w:lineRule="auto"/>
        <w:jc w:val="center"/>
        <w:rPr>
          <w:rFonts w:ascii="Arial" w:hAnsi="Arial"/>
          <w:sz w:val="24"/>
          <w:szCs w:val="24"/>
        </w:rPr>
      </w:pPr>
    </w:p>
    <w:p w:rsidR="000A019F" w:rsidRDefault="00FB6C8C">
      <w:pPr>
        <w:spacing w:line="276" w:lineRule="auto"/>
        <w:jc w:val="both"/>
        <w:rPr>
          <w:rFonts w:ascii="Arial" w:hAnsi="Arial"/>
          <w:sz w:val="24"/>
          <w:szCs w:val="24"/>
        </w:rPr>
      </w:pPr>
      <w:r>
        <w:rPr>
          <w:rFonts w:ascii="Arial" w:hAnsi="Arial"/>
          <w:sz w:val="24"/>
          <w:szCs w:val="24"/>
        </w:rPr>
        <w:tab/>
        <w:t>Torna-se público que a Prefeitura Municipal de Viadutos, por meio do Setor de Compras e Licitações pretende proceder a Contratação de empresa especializada em serviços topográficos, via dispensa de licitação, prevista no art. 75, inciso II, da Lei Federal n. 14.133, de 1º de abril de 2021 e, tem interesse legal em obter propostas adicionais e eventuais interessados que se enquadrem no ramo de atividade do o</w:t>
      </w:r>
      <w:r w:rsidR="0037194E">
        <w:rPr>
          <w:rFonts w:ascii="Arial" w:hAnsi="Arial"/>
          <w:sz w:val="24"/>
          <w:szCs w:val="24"/>
        </w:rPr>
        <w:t>bjeto pretendido, nos termos do</w:t>
      </w:r>
      <w:r>
        <w:rPr>
          <w:rFonts w:ascii="Arial" w:hAnsi="Arial"/>
          <w:sz w:val="24"/>
          <w:szCs w:val="24"/>
        </w:rPr>
        <w:t xml:space="preserve"> § 3º do artigo 75 da lei de licitações. As propostas adicionais serão recebidas até as 17:00 do terceiro dia útil da publicação deste aviso. As propostas poderão ser entregues pessoalmente na sede do Município ou via e mail compras@viadutos.rs.gov.br, desde que assinadas digitalmente.</w:t>
      </w:r>
    </w:p>
    <w:p w:rsidR="000A019F" w:rsidRDefault="000A019F">
      <w:pPr>
        <w:spacing w:line="276" w:lineRule="auto"/>
        <w:jc w:val="both"/>
        <w:rPr>
          <w:rFonts w:ascii="Arial" w:hAnsi="Arial"/>
          <w:sz w:val="24"/>
          <w:szCs w:val="24"/>
        </w:rPr>
      </w:pPr>
    </w:p>
    <w:p w:rsidR="000A019F" w:rsidRDefault="00FB6C8C">
      <w:pPr>
        <w:spacing w:line="276" w:lineRule="auto"/>
        <w:jc w:val="both"/>
        <w:rPr>
          <w:rFonts w:ascii="Arial" w:hAnsi="Arial"/>
          <w:sz w:val="24"/>
          <w:szCs w:val="24"/>
        </w:rPr>
      </w:pPr>
      <w:r>
        <w:rPr>
          <w:rFonts w:ascii="Arial" w:hAnsi="Arial"/>
          <w:sz w:val="24"/>
          <w:szCs w:val="24"/>
        </w:rPr>
        <w:tab/>
        <w:t>A documentação complementar, estará disponível no sítio oficial do órgão da entidade pública.</w:t>
      </w:r>
    </w:p>
    <w:p w:rsidR="000A019F" w:rsidRDefault="000A019F">
      <w:pPr>
        <w:spacing w:line="276" w:lineRule="auto"/>
        <w:jc w:val="both"/>
        <w:rPr>
          <w:rFonts w:ascii="Arial" w:hAnsi="Arial"/>
          <w:sz w:val="24"/>
          <w:szCs w:val="24"/>
        </w:rPr>
      </w:pPr>
    </w:p>
    <w:p w:rsidR="000A019F" w:rsidRDefault="000A019F">
      <w:pPr>
        <w:spacing w:line="276" w:lineRule="auto"/>
        <w:jc w:val="both"/>
        <w:rPr>
          <w:rFonts w:ascii="Arial" w:hAnsi="Arial"/>
          <w:sz w:val="24"/>
          <w:szCs w:val="24"/>
        </w:rPr>
      </w:pPr>
    </w:p>
    <w:p w:rsidR="000A019F" w:rsidRDefault="00FB6C8C">
      <w:pPr>
        <w:spacing w:line="276" w:lineRule="auto"/>
        <w:jc w:val="center"/>
        <w:rPr>
          <w:rFonts w:ascii="Arial" w:hAnsi="Arial"/>
          <w:sz w:val="24"/>
          <w:szCs w:val="24"/>
        </w:rPr>
      </w:pPr>
      <w:r>
        <w:rPr>
          <w:rFonts w:ascii="Arial" w:hAnsi="Arial"/>
          <w:sz w:val="24"/>
          <w:szCs w:val="24"/>
        </w:rPr>
        <w:t xml:space="preserve">Viadutos – RS, </w:t>
      </w:r>
      <w:r w:rsidR="00997CAD">
        <w:rPr>
          <w:rFonts w:ascii="Arial" w:hAnsi="Arial"/>
          <w:sz w:val="24"/>
          <w:szCs w:val="24"/>
        </w:rPr>
        <w:t>03 de março de 2026</w:t>
      </w:r>
      <w:bookmarkStart w:id="0" w:name="_GoBack"/>
      <w:bookmarkEnd w:id="0"/>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t xml:space="preserve"> </w:t>
      </w:r>
    </w:p>
    <w:p w:rsidR="000A019F" w:rsidRDefault="000A019F">
      <w:pPr>
        <w:spacing w:line="276" w:lineRule="auto"/>
        <w:jc w:val="both"/>
        <w:rPr>
          <w:rFonts w:ascii="Arial" w:hAnsi="Arial"/>
          <w:sz w:val="22"/>
          <w:szCs w:val="22"/>
        </w:rPr>
      </w:pPr>
    </w:p>
    <w:p w:rsidR="000A019F" w:rsidRDefault="000A019F">
      <w:pPr>
        <w:spacing w:line="276" w:lineRule="auto"/>
        <w:jc w:val="both"/>
        <w:rPr>
          <w:sz w:val="24"/>
          <w:szCs w:val="24"/>
        </w:rPr>
      </w:pPr>
    </w:p>
    <w:p w:rsidR="000A019F" w:rsidRDefault="00FB6C8C">
      <w:pPr>
        <w:spacing w:line="276" w:lineRule="auto"/>
        <w:jc w:val="both"/>
        <w:rPr>
          <w:rFonts w:ascii="Arial" w:hAnsi="Arial"/>
          <w:sz w:val="22"/>
          <w:szCs w:val="22"/>
        </w:rPr>
      </w:pPr>
      <w:r>
        <w:rPr>
          <w:rFonts w:ascii="Arial" w:hAnsi="Arial"/>
          <w:sz w:val="22"/>
          <w:szCs w:val="22"/>
        </w:rPr>
        <w:t>CONDIÇÕES DE ENTREGA E PAGAMENTO</w:t>
      </w:r>
    </w:p>
    <w:p w:rsidR="000A019F" w:rsidRDefault="000A019F">
      <w:pPr>
        <w:spacing w:line="276" w:lineRule="auto"/>
        <w:jc w:val="both"/>
        <w:rPr>
          <w:rFonts w:ascii="Arial" w:hAnsi="Arial"/>
          <w:sz w:val="22"/>
          <w:szCs w:val="22"/>
        </w:rPr>
      </w:pPr>
    </w:p>
    <w:p w:rsidR="000A019F" w:rsidRDefault="00FB6C8C">
      <w:pPr>
        <w:numPr>
          <w:ilvl w:val="0"/>
          <w:numId w:val="1"/>
        </w:numPr>
        <w:spacing w:line="276" w:lineRule="auto"/>
        <w:jc w:val="both"/>
        <w:rPr>
          <w:rFonts w:ascii="Arial" w:hAnsi="Arial"/>
          <w:sz w:val="22"/>
          <w:szCs w:val="22"/>
        </w:rPr>
      </w:pPr>
      <w:r>
        <w:rPr>
          <w:rFonts w:ascii="Arial" w:hAnsi="Arial"/>
          <w:sz w:val="22"/>
          <w:szCs w:val="22"/>
        </w:rPr>
        <w:t>Local de entrega: Prefeitura Municipal de Viadutos.</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 xml:space="preserve">Prazo de entrega: </w:t>
      </w:r>
      <w:r w:rsidR="0037194E">
        <w:rPr>
          <w:rFonts w:ascii="Arial" w:hAnsi="Arial"/>
          <w:sz w:val="22"/>
          <w:szCs w:val="22"/>
        </w:rPr>
        <w:t xml:space="preserve">10 </w:t>
      </w:r>
      <w:r>
        <w:rPr>
          <w:rFonts w:ascii="Arial" w:hAnsi="Arial"/>
          <w:sz w:val="22"/>
          <w:szCs w:val="22"/>
        </w:rPr>
        <w:t>dias úteis após o recebimento da Autorização de Empenho.</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Prazo de pagamento: até 20 (vinte) dias úteis, contados da finalização da liquidação da despesa.</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Do fornecedor do melhor preço exigido.</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CNPJ</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CND Federal, Municipal e Federal</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CNDT</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FGTS</w:t>
      </w:r>
    </w:p>
    <w:p w:rsidR="000A019F" w:rsidRDefault="00FB6C8C">
      <w:pPr>
        <w:numPr>
          <w:ilvl w:val="0"/>
          <w:numId w:val="1"/>
        </w:numPr>
        <w:spacing w:line="276" w:lineRule="auto"/>
        <w:jc w:val="both"/>
        <w:rPr>
          <w:rFonts w:ascii="Arial" w:hAnsi="Arial"/>
          <w:sz w:val="22"/>
          <w:szCs w:val="22"/>
        </w:rPr>
      </w:pPr>
      <w:r>
        <w:rPr>
          <w:rFonts w:ascii="Arial" w:hAnsi="Arial"/>
          <w:sz w:val="22"/>
          <w:szCs w:val="22"/>
        </w:rPr>
        <w:t>Certidão Negativa de Falência e Concordata</w:t>
      </w:r>
    </w:p>
    <w:p w:rsidR="000A019F" w:rsidRDefault="000A019F">
      <w:pPr>
        <w:spacing w:line="276" w:lineRule="auto"/>
        <w:jc w:val="both"/>
        <w:rPr>
          <w:rFonts w:ascii="Arial" w:hAnsi="Arial"/>
          <w:sz w:val="24"/>
          <w:szCs w:val="24"/>
        </w:rPr>
      </w:pPr>
    </w:p>
    <w:p w:rsidR="000A019F" w:rsidRDefault="000A019F">
      <w:pPr>
        <w:spacing w:line="276" w:lineRule="auto"/>
        <w:jc w:val="both"/>
        <w:rPr>
          <w:rFonts w:ascii="Arial" w:hAnsi="Arial"/>
          <w:sz w:val="24"/>
          <w:szCs w:val="24"/>
        </w:rPr>
      </w:pPr>
    </w:p>
    <w:p w:rsidR="0037194E" w:rsidRDefault="0037194E">
      <w:pPr>
        <w:spacing w:line="276" w:lineRule="auto"/>
        <w:jc w:val="both"/>
        <w:rPr>
          <w:rFonts w:ascii="Arial" w:hAnsi="Arial"/>
          <w:sz w:val="24"/>
          <w:szCs w:val="24"/>
        </w:rPr>
      </w:pPr>
    </w:p>
    <w:p w:rsidR="0037194E" w:rsidRDefault="0037194E">
      <w:pPr>
        <w:spacing w:line="276" w:lineRule="auto"/>
        <w:jc w:val="both"/>
        <w:rPr>
          <w:rFonts w:ascii="Arial" w:hAnsi="Arial"/>
          <w:sz w:val="24"/>
          <w:szCs w:val="24"/>
        </w:rPr>
      </w:pPr>
    </w:p>
    <w:p w:rsidR="00997CAD" w:rsidRDefault="00997CAD">
      <w:pPr>
        <w:spacing w:line="276" w:lineRule="auto"/>
        <w:jc w:val="both"/>
        <w:rPr>
          <w:rFonts w:ascii="Arial" w:hAnsi="Arial"/>
          <w:sz w:val="24"/>
          <w:szCs w:val="24"/>
        </w:rPr>
      </w:pPr>
    </w:p>
    <w:p w:rsidR="000A019F" w:rsidRDefault="00FB6C8C">
      <w:pPr>
        <w:spacing w:line="276" w:lineRule="auto"/>
        <w:jc w:val="center"/>
        <w:rPr>
          <w:rFonts w:ascii="Arial" w:hAnsi="Arial"/>
          <w:b/>
          <w:bCs/>
          <w:sz w:val="24"/>
          <w:szCs w:val="24"/>
        </w:rPr>
      </w:pPr>
      <w:r>
        <w:rPr>
          <w:rFonts w:ascii="Arial" w:hAnsi="Arial"/>
          <w:b/>
          <w:bCs/>
          <w:sz w:val="24"/>
          <w:szCs w:val="24"/>
        </w:rPr>
        <w:lastRenderedPageBreak/>
        <w:t>ANEXO I</w:t>
      </w:r>
    </w:p>
    <w:p w:rsidR="000A019F" w:rsidRDefault="00FB6C8C">
      <w:pPr>
        <w:spacing w:line="276" w:lineRule="auto"/>
        <w:jc w:val="center"/>
        <w:rPr>
          <w:rFonts w:ascii="Arial" w:hAnsi="Arial"/>
          <w:b/>
          <w:bCs/>
          <w:sz w:val="24"/>
          <w:szCs w:val="24"/>
        </w:rPr>
      </w:pPr>
      <w:r>
        <w:rPr>
          <w:rFonts w:ascii="Arial" w:hAnsi="Arial"/>
          <w:b/>
          <w:bCs/>
          <w:sz w:val="24"/>
          <w:szCs w:val="24"/>
        </w:rPr>
        <w:t>IDENTIFICAÇÃO DA EMPRESA</w:t>
      </w:r>
    </w:p>
    <w:p w:rsidR="000A019F" w:rsidRDefault="000A019F">
      <w:pPr>
        <w:spacing w:line="276" w:lineRule="auto"/>
        <w:jc w:val="center"/>
        <w:rPr>
          <w:rFonts w:ascii="Arial" w:hAnsi="Arial"/>
          <w:b/>
          <w:bCs/>
          <w:sz w:val="24"/>
          <w:szCs w:val="24"/>
        </w:rPr>
      </w:pPr>
    </w:p>
    <w:p w:rsidR="000A019F" w:rsidRDefault="00FB6C8C">
      <w:pPr>
        <w:spacing w:line="276" w:lineRule="auto"/>
        <w:jc w:val="both"/>
        <w:rPr>
          <w:rFonts w:ascii="Arial" w:hAnsi="Arial"/>
          <w:sz w:val="24"/>
          <w:szCs w:val="24"/>
        </w:rPr>
      </w:pPr>
      <w:r>
        <w:rPr>
          <w:rFonts w:ascii="Arial" w:hAnsi="Arial"/>
          <w:sz w:val="24"/>
          <w:szCs w:val="24"/>
        </w:rPr>
        <w:t>RAZÃO SOCIAL:</w:t>
      </w:r>
    </w:p>
    <w:p w:rsidR="000A019F" w:rsidRDefault="00FB6C8C">
      <w:pPr>
        <w:spacing w:line="276" w:lineRule="auto"/>
        <w:jc w:val="both"/>
        <w:rPr>
          <w:rFonts w:ascii="Arial" w:hAnsi="Arial"/>
          <w:sz w:val="24"/>
          <w:szCs w:val="24"/>
        </w:rPr>
      </w:pPr>
      <w:r>
        <w:rPr>
          <w:rFonts w:ascii="Arial" w:hAnsi="Arial"/>
          <w:sz w:val="24"/>
          <w:szCs w:val="24"/>
        </w:rPr>
        <w:t>NOME FANTASIA:</w:t>
      </w:r>
    </w:p>
    <w:p w:rsidR="000A019F" w:rsidRDefault="00FB6C8C">
      <w:pPr>
        <w:spacing w:line="276" w:lineRule="auto"/>
        <w:jc w:val="both"/>
        <w:rPr>
          <w:rFonts w:ascii="Arial" w:hAnsi="Arial"/>
          <w:sz w:val="24"/>
          <w:szCs w:val="24"/>
        </w:rPr>
      </w:pPr>
      <w:r>
        <w:rPr>
          <w:rFonts w:ascii="Arial" w:hAnsi="Arial"/>
          <w:sz w:val="24"/>
          <w:szCs w:val="24"/>
        </w:rPr>
        <w:t>CNPJ:</w:t>
      </w:r>
    </w:p>
    <w:p w:rsidR="000A019F" w:rsidRDefault="00FB6C8C">
      <w:pPr>
        <w:spacing w:line="276" w:lineRule="auto"/>
        <w:jc w:val="both"/>
        <w:rPr>
          <w:rFonts w:ascii="Arial" w:hAnsi="Arial"/>
          <w:sz w:val="24"/>
          <w:szCs w:val="24"/>
        </w:rPr>
      </w:pPr>
      <w:r>
        <w:rPr>
          <w:rFonts w:ascii="Arial" w:hAnsi="Arial"/>
          <w:sz w:val="24"/>
          <w:szCs w:val="24"/>
        </w:rPr>
        <w:t>ENDEREÇO:</w:t>
      </w:r>
    </w:p>
    <w:p w:rsidR="000A019F" w:rsidRDefault="00FB6C8C">
      <w:pPr>
        <w:spacing w:line="276" w:lineRule="auto"/>
        <w:jc w:val="both"/>
        <w:rPr>
          <w:rFonts w:ascii="Arial" w:hAnsi="Arial"/>
          <w:sz w:val="24"/>
          <w:szCs w:val="24"/>
        </w:rPr>
      </w:pPr>
      <w:r>
        <w:rPr>
          <w:rFonts w:ascii="Arial" w:hAnsi="Arial"/>
          <w:sz w:val="24"/>
          <w:szCs w:val="24"/>
        </w:rPr>
        <w:t>E-MAIL:</w:t>
      </w:r>
    </w:p>
    <w:p w:rsidR="000A019F" w:rsidRDefault="00FB6C8C">
      <w:pPr>
        <w:spacing w:line="276" w:lineRule="auto"/>
        <w:jc w:val="both"/>
        <w:rPr>
          <w:rFonts w:ascii="Arial" w:hAnsi="Arial"/>
          <w:sz w:val="24"/>
          <w:szCs w:val="24"/>
        </w:rPr>
      </w:pPr>
      <w:r>
        <w:rPr>
          <w:rFonts w:ascii="Arial" w:hAnsi="Arial"/>
          <w:sz w:val="24"/>
          <w:szCs w:val="24"/>
        </w:rPr>
        <w:t>TELEFONE:</w:t>
      </w:r>
    </w:p>
    <w:p w:rsidR="000A019F" w:rsidRDefault="00FB6C8C">
      <w:pPr>
        <w:spacing w:line="276" w:lineRule="auto"/>
        <w:jc w:val="both"/>
        <w:rPr>
          <w:rFonts w:ascii="Arial" w:hAnsi="Arial"/>
          <w:sz w:val="24"/>
          <w:szCs w:val="24"/>
        </w:rPr>
      </w:pPr>
      <w:r>
        <w:rPr>
          <w:rFonts w:ascii="Arial" w:hAnsi="Arial"/>
          <w:sz w:val="24"/>
          <w:szCs w:val="24"/>
        </w:rPr>
        <w:t>REPRESENTANTE LEGAL:</w:t>
      </w:r>
    </w:p>
    <w:p w:rsidR="000A019F" w:rsidRDefault="00FB6C8C">
      <w:pPr>
        <w:spacing w:line="276" w:lineRule="auto"/>
        <w:jc w:val="both"/>
        <w:rPr>
          <w:rFonts w:ascii="Arial" w:hAnsi="Arial"/>
          <w:sz w:val="24"/>
          <w:szCs w:val="24"/>
        </w:rPr>
      </w:pPr>
      <w:r>
        <w:rPr>
          <w:rFonts w:ascii="Arial" w:hAnsi="Arial"/>
          <w:sz w:val="24"/>
          <w:szCs w:val="24"/>
        </w:rPr>
        <w:t>CPF:</w:t>
      </w:r>
    </w:p>
    <w:p w:rsidR="000A019F" w:rsidRDefault="00FB6C8C">
      <w:pPr>
        <w:spacing w:line="276" w:lineRule="auto"/>
        <w:jc w:val="both"/>
        <w:rPr>
          <w:rFonts w:ascii="Arial" w:hAnsi="Arial"/>
          <w:sz w:val="24"/>
          <w:szCs w:val="24"/>
        </w:rPr>
      </w:pPr>
      <w:r>
        <w:rPr>
          <w:rFonts w:ascii="Arial" w:hAnsi="Arial"/>
          <w:sz w:val="24"/>
          <w:szCs w:val="24"/>
        </w:rPr>
        <w:t>RG:</w:t>
      </w:r>
    </w:p>
    <w:p w:rsidR="000A019F" w:rsidRDefault="000A019F">
      <w:pPr>
        <w:spacing w:line="276" w:lineRule="auto"/>
        <w:jc w:val="both"/>
        <w:rPr>
          <w:rFonts w:ascii="Arial" w:hAnsi="Arial"/>
          <w:sz w:val="24"/>
          <w:szCs w:val="24"/>
        </w:rPr>
      </w:pPr>
    </w:p>
    <w:p w:rsidR="000A019F" w:rsidRDefault="000A019F">
      <w:pPr>
        <w:spacing w:line="276" w:lineRule="auto"/>
        <w:jc w:val="both"/>
        <w:rPr>
          <w:rFonts w:ascii="Arial" w:hAnsi="Arial"/>
          <w:sz w:val="24"/>
          <w:szCs w:val="24"/>
        </w:rPr>
      </w:pPr>
    </w:p>
    <w:p w:rsidR="000A019F" w:rsidRDefault="00FB6C8C">
      <w:pPr>
        <w:spacing w:line="276" w:lineRule="auto"/>
        <w:jc w:val="center"/>
        <w:rPr>
          <w:rFonts w:ascii="Arial" w:hAnsi="Arial"/>
          <w:b/>
          <w:bCs/>
          <w:sz w:val="22"/>
          <w:szCs w:val="22"/>
        </w:rPr>
      </w:pPr>
      <w:r>
        <w:rPr>
          <w:rFonts w:ascii="Arial" w:hAnsi="Arial"/>
          <w:b/>
          <w:bCs/>
          <w:sz w:val="22"/>
          <w:szCs w:val="22"/>
        </w:rPr>
        <w:t>Anexo I</w:t>
      </w:r>
    </w:p>
    <w:p w:rsidR="000A019F" w:rsidRDefault="00FB6C8C">
      <w:pPr>
        <w:spacing w:line="276" w:lineRule="auto"/>
        <w:jc w:val="center"/>
        <w:rPr>
          <w:rFonts w:ascii="Arial" w:hAnsi="Arial"/>
          <w:b/>
          <w:bCs/>
          <w:sz w:val="22"/>
          <w:szCs w:val="22"/>
        </w:rPr>
      </w:pPr>
      <w:r>
        <w:rPr>
          <w:rFonts w:ascii="Arial" w:hAnsi="Arial"/>
          <w:b/>
          <w:bCs/>
          <w:sz w:val="22"/>
          <w:szCs w:val="22"/>
        </w:rPr>
        <w:t>Modelo de Orçamento</w:t>
      </w:r>
    </w:p>
    <w:p w:rsidR="000A019F" w:rsidRDefault="000A019F">
      <w:pPr>
        <w:spacing w:line="276" w:lineRule="auto"/>
        <w:jc w:val="center"/>
        <w:rPr>
          <w:rFonts w:ascii="Arial" w:hAnsi="Arial"/>
          <w:sz w:val="22"/>
          <w:szCs w:val="22"/>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57"/>
        <w:gridCol w:w="3423"/>
        <w:gridCol w:w="1321"/>
        <w:gridCol w:w="1139"/>
        <w:gridCol w:w="1129"/>
        <w:gridCol w:w="1195"/>
        <w:gridCol w:w="1146"/>
      </w:tblGrid>
      <w:tr w:rsidR="000A019F" w:rsidTr="00630175">
        <w:tc>
          <w:tcPr>
            <w:tcW w:w="757" w:type="dxa"/>
          </w:tcPr>
          <w:p w:rsidR="000A019F" w:rsidRDefault="00FB6C8C">
            <w:pPr>
              <w:pStyle w:val="Contedodatabela"/>
              <w:jc w:val="center"/>
              <w:rPr>
                <w:rFonts w:ascii="Arial" w:hAnsi="Arial"/>
                <w:b/>
                <w:bCs/>
                <w:sz w:val="22"/>
                <w:szCs w:val="22"/>
              </w:rPr>
            </w:pPr>
            <w:r>
              <w:rPr>
                <w:rFonts w:ascii="Arial" w:hAnsi="Arial"/>
                <w:b/>
                <w:bCs/>
                <w:sz w:val="22"/>
                <w:szCs w:val="22"/>
              </w:rPr>
              <w:t>Item</w:t>
            </w:r>
          </w:p>
        </w:tc>
        <w:tc>
          <w:tcPr>
            <w:tcW w:w="3423" w:type="dxa"/>
          </w:tcPr>
          <w:p w:rsidR="000A019F" w:rsidRDefault="00FB6C8C">
            <w:pPr>
              <w:pStyle w:val="Contedodatabela"/>
              <w:jc w:val="center"/>
              <w:rPr>
                <w:rFonts w:ascii="Arial" w:hAnsi="Arial"/>
                <w:b/>
                <w:bCs/>
                <w:sz w:val="22"/>
                <w:szCs w:val="22"/>
              </w:rPr>
            </w:pPr>
            <w:r>
              <w:rPr>
                <w:rFonts w:ascii="Arial" w:hAnsi="Arial"/>
                <w:b/>
                <w:bCs/>
                <w:sz w:val="22"/>
                <w:szCs w:val="22"/>
              </w:rPr>
              <w:t>Descrição</w:t>
            </w:r>
          </w:p>
        </w:tc>
        <w:tc>
          <w:tcPr>
            <w:tcW w:w="1321" w:type="dxa"/>
          </w:tcPr>
          <w:p w:rsidR="000A019F" w:rsidRDefault="00FB6C8C">
            <w:pPr>
              <w:pStyle w:val="Contedodatabela"/>
              <w:jc w:val="center"/>
              <w:rPr>
                <w:rFonts w:ascii="Arial" w:hAnsi="Arial"/>
                <w:b/>
                <w:bCs/>
                <w:sz w:val="22"/>
                <w:szCs w:val="22"/>
              </w:rPr>
            </w:pPr>
            <w:r>
              <w:rPr>
                <w:rFonts w:ascii="Arial" w:hAnsi="Arial"/>
                <w:b/>
                <w:bCs/>
                <w:sz w:val="22"/>
                <w:szCs w:val="22"/>
              </w:rPr>
              <w:t>Quantidade</w:t>
            </w:r>
          </w:p>
        </w:tc>
        <w:tc>
          <w:tcPr>
            <w:tcW w:w="1139" w:type="dxa"/>
          </w:tcPr>
          <w:p w:rsidR="000A019F" w:rsidRDefault="00FB6C8C">
            <w:pPr>
              <w:pStyle w:val="Contedodatabela"/>
              <w:jc w:val="center"/>
              <w:rPr>
                <w:rFonts w:ascii="Arial" w:hAnsi="Arial"/>
                <w:b/>
                <w:bCs/>
                <w:sz w:val="22"/>
                <w:szCs w:val="22"/>
              </w:rPr>
            </w:pPr>
            <w:r>
              <w:rPr>
                <w:rFonts w:ascii="Arial" w:hAnsi="Arial"/>
                <w:b/>
                <w:bCs/>
                <w:sz w:val="22"/>
                <w:szCs w:val="22"/>
              </w:rPr>
              <w:t>Unidade</w:t>
            </w:r>
          </w:p>
        </w:tc>
        <w:tc>
          <w:tcPr>
            <w:tcW w:w="1129" w:type="dxa"/>
          </w:tcPr>
          <w:p w:rsidR="000A019F" w:rsidRDefault="00FB6C8C">
            <w:pPr>
              <w:pStyle w:val="Contedodatabela"/>
              <w:jc w:val="center"/>
              <w:rPr>
                <w:rFonts w:ascii="Arial" w:hAnsi="Arial"/>
                <w:b/>
                <w:bCs/>
                <w:sz w:val="22"/>
                <w:szCs w:val="22"/>
              </w:rPr>
            </w:pPr>
            <w:r>
              <w:rPr>
                <w:rFonts w:ascii="Arial" w:hAnsi="Arial"/>
                <w:b/>
                <w:bCs/>
                <w:sz w:val="22"/>
                <w:szCs w:val="22"/>
              </w:rPr>
              <w:t>Marca</w:t>
            </w:r>
          </w:p>
        </w:tc>
        <w:tc>
          <w:tcPr>
            <w:tcW w:w="1195" w:type="dxa"/>
          </w:tcPr>
          <w:p w:rsidR="000A019F" w:rsidRDefault="00FB6C8C">
            <w:pPr>
              <w:pStyle w:val="Contedodatabela"/>
              <w:jc w:val="center"/>
              <w:rPr>
                <w:rFonts w:ascii="Arial" w:hAnsi="Arial"/>
                <w:b/>
                <w:bCs/>
                <w:sz w:val="22"/>
                <w:szCs w:val="22"/>
              </w:rPr>
            </w:pPr>
            <w:r>
              <w:rPr>
                <w:rFonts w:ascii="Arial" w:hAnsi="Arial"/>
                <w:b/>
                <w:bCs/>
                <w:sz w:val="22"/>
                <w:szCs w:val="22"/>
              </w:rPr>
              <w:t>Unitário</w:t>
            </w:r>
          </w:p>
        </w:tc>
        <w:tc>
          <w:tcPr>
            <w:tcW w:w="1146" w:type="dxa"/>
          </w:tcPr>
          <w:p w:rsidR="000A019F" w:rsidRDefault="00FB6C8C">
            <w:pPr>
              <w:pStyle w:val="Contedodatabela"/>
              <w:jc w:val="center"/>
              <w:rPr>
                <w:rFonts w:ascii="Arial" w:hAnsi="Arial"/>
                <w:b/>
                <w:bCs/>
                <w:sz w:val="22"/>
                <w:szCs w:val="22"/>
              </w:rPr>
            </w:pPr>
            <w:r>
              <w:rPr>
                <w:rFonts w:ascii="Arial" w:hAnsi="Arial"/>
                <w:b/>
                <w:bCs/>
                <w:sz w:val="22"/>
                <w:szCs w:val="22"/>
              </w:rPr>
              <w:t>Total</w:t>
            </w:r>
          </w:p>
        </w:tc>
      </w:tr>
      <w:tr w:rsidR="000A019F" w:rsidTr="00630175">
        <w:tc>
          <w:tcPr>
            <w:tcW w:w="757" w:type="dxa"/>
          </w:tcPr>
          <w:p w:rsidR="000A019F" w:rsidRDefault="00FB6C8C">
            <w:pPr>
              <w:pStyle w:val="Contedodatabela"/>
              <w:jc w:val="center"/>
              <w:rPr>
                <w:rFonts w:ascii="Arial" w:hAnsi="Arial"/>
                <w:sz w:val="22"/>
                <w:szCs w:val="22"/>
              </w:rPr>
            </w:pPr>
            <w:r>
              <w:rPr>
                <w:rFonts w:ascii="Arial" w:hAnsi="Arial"/>
                <w:sz w:val="22"/>
                <w:szCs w:val="22"/>
              </w:rPr>
              <w:t>1</w:t>
            </w:r>
          </w:p>
        </w:tc>
        <w:tc>
          <w:tcPr>
            <w:tcW w:w="3423" w:type="dxa"/>
          </w:tcPr>
          <w:p w:rsidR="000A019F" w:rsidRDefault="00FB6C8C" w:rsidP="0037194E">
            <w:pPr>
              <w:pStyle w:val="Contedodatabela"/>
              <w:jc w:val="both"/>
              <w:rPr>
                <w:rFonts w:ascii="Arial" w:hAnsi="Arial"/>
                <w:sz w:val="22"/>
                <w:szCs w:val="22"/>
              </w:rPr>
            </w:pPr>
            <w:r>
              <w:rPr>
                <w:rFonts w:ascii="Arial" w:hAnsi="Arial"/>
                <w:sz w:val="22"/>
                <w:szCs w:val="22"/>
              </w:rPr>
              <w:t>Serviço Topográfico</w:t>
            </w:r>
          </w:p>
        </w:tc>
        <w:tc>
          <w:tcPr>
            <w:tcW w:w="1321" w:type="dxa"/>
          </w:tcPr>
          <w:p w:rsidR="000A019F" w:rsidRDefault="00FB6C8C" w:rsidP="0037194E">
            <w:pPr>
              <w:pStyle w:val="Contedodatabela"/>
              <w:jc w:val="center"/>
              <w:rPr>
                <w:rFonts w:ascii="Arial" w:hAnsi="Arial"/>
                <w:sz w:val="22"/>
                <w:szCs w:val="22"/>
              </w:rPr>
            </w:pPr>
            <w:r>
              <w:rPr>
                <w:rFonts w:ascii="Arial" w:hAnsi="Arial"/>
                <w:sz w:val="22"/>
                <w:szCs w:val="22"/>
              </w:rPr>
              <w:t>13</w:t>
            </w:r>
            <w:r w:rsidR="0037194E">
              <w:rPr>
                <w:rFonts w:ascii="Arial" w:hAnsi="Arial"/>
                <w:sz w:val="22"/>
                <w:szCs w:val="22"/>
              </w:rPr>
              <w:t>6</w:t>
            </w:r>
            <w:r>
              <w:rPr>
                <w:rFonts w:ascii="Arial" w:hAnsi="Arial"/>
                <w:sz w:val="22"/>
                <w:szCs w:val="22"/>
              </w:rPr>
              <w:t>,0</w:t>
            </w:r>
          </w:p>
        </w:tc>
        <w:tc>
          <w:tcPr>
            <w:tcW w:w="1139" w:type="dxa"/>
          </w:tcPr>
          <w:p w:rsidR="000A019F" w:rsidRDefault="00FB6C8C">
            <w:pPr>
              <w:pStyle w:val="Contedodatabela"/>
              <w:jc w:val="center"/>
              <w:rPr>
                <w:rFonts w:ascii="Arial" w:hAnsi="Arial"/>
                <w:sz w:val="22"/>
                <w:szCs w:val="22"/>
              </w:rPr>
            </w:pPr>
            <w:proofErr w:type="spellStart"/>
            <w:r>
              <w:rPr>
                <w:rFonts w:ascii="Arial" w:hAnsi="Arial"/>
                <w:sz w:val="22"/>
                <w:szCs w:val="22"/>
              </w:rPr>
              <w:t>Und</w:t>
            </w:r>
            <w:proofErr w:type="spellEnd"/>
          </w:p>
        </w:tc>
        <w:tc>
          <w:tcPr>
            <w:tcW w:w="1129" w:type="dxa"/>
          </w:tcPr>
          <w:p w:rsidR="000A019F" w:rsidRDefault="000A019F">
            <w:pPr>
              <w:pStyle w:val="Contedodatabela"/>
              <w:jc w:val="center"/>
              <w:rPr>
                <w:rFonts w:ascii="Arial" w:hAnsi="Arial"/>
                <w:sz w:val="22"/>
                <w:szCs w:val="22"/>
              </w:rPr>
            </w:pPr>
          </w:p>
        </w:tc>
        <w:tc>
          <w:tcPr>
            <w:tcW w:w="1195" w:type="dxa"/>
          </w:tcPr>
          <w:p w:rsidR="000A019F" w:rsidRDefault="000A019F">
            <w:pPr>
              <w:pStyle w:val="Contedodatabela"/>
              <w:jc w:val="right"/>
              <w:rPr>
                <w:rFonts w:ascii="Arial" w:hAnsi="Arial"/>
                <w:sz w:val="22"/>
                <w:szCs w:val="22"/>
              </w:rPr>
            </w:pPr>
          </w:p>
        </w:tc>
        <w:tc>
          <w:tcPr>
            <w:tcW w:w="1146" w:type="dxa"/>
          </w:tcPr>
          <w:p w:rsidR="000A019F" w:rsidRDefault="000A019F">
            <w:pPr>
              <w:pStyle w:val="Contedodatabela"/>
              <w:jc w:val="right"/>
              <w:rPr>
                <w:rFonts w:ascii="Arial" w:hAnsi="Arial"/>
                <w:sz w:val="22"/>
                <w:szCs w:val="22"/>
              </w:rPr>
            </w:pPr>
          </w:p>
        </w:tc>
      </w:tr>
      <w:tr w:rsidR="0037194E" w:rsidTr="00630175">
        <w:tc>
          <w:tcPr>
            <w:tcW w:w="10110" w:type="dxa"/>
            <w:gridSpan w:val="7"/>
          </w:tcPr>
          <w:p w:rsidR="0037194E" w:rsidRDefault="0037194E" w:rsidP="0037194E">
            <w:pPr>
              <w:pStyle w:val="Contedodatabela"/>
              <w:rPr>
                <w:rFonts w:ascii="Arial" w:hAnsi="Arial"/>
                <w:sz w:val="22"/>
                <w:szCs w:val="22"/>
              </w:rPr>
            </w:pPr>
            <w:r>
              <w:rPr>
                <w:rFonts w:ascii="Arial" w:hAnsi="Arial"/>
                <w:sz w:val="22"/>
                <w:szCs w:val="22"/>
              </w:rPr>
              <w:t>Prestação dos serviços técnicos especializados abrangendo os seguintes itens:</w:t>
            </w:r>
          </w:p>
          <w:p w:rsidR="0037194E" w:rsidRDefault="0037194E" w:rsidP="0037194E">
            <w:pPr>
              <w:pStyle w:val="Contedodatabela"/>
              <w:numPr>
                <w:ilvl w:val="0"/>
                <w:numId w:val="3"/>
              </w:numPr>
              <w:rPr>
                <w:rFonts w:ascii="Arial" w:hAnsi="Arial"/>
                <w:sz w:val="22"/>
                <w:szCs w:val="22"/>
              </w:rPr>
            </w:pPr>
            <w:r>
              <w:rPr>
                <w:rFonts w:ascii="Arial" w:hAnsi="Arial"/>
                <w:sz w:val="22"/>
                <w:szCs w:val="22"/>
              </w:rPr>
              <w:t xml:space="preserve">Transformação de coordenadas geográficas para o modo </w:t>
            </w:r>
            <w:proofErr w:type="spellStart"/>
            <w:r>
              <w:rPr>
                <w:rFonts w:ascii="Arial" w:hAnsi="Arial"/>
                <w:sz w:val="22"/>
                <w:szCs w:val="22"/>
              </w:rPr>
              <w:t>shapefile</w:t>
            </w:r>
            <w:proofErr w:type="spellEnd"/>
            <w:r>
              <w:rPr>
                <w:rFonts w:ascii="Arial" w:hAnsi="Arial"/>
                <w:sz w:val="22"/>
                <w:szCs w:val="22"/>
              </w:rPr>
              <w:t xml:space="preserve"> para fins de cadastramento do sistema de informações;</w:t>
            </w:r>
          </w:p>
          <w:p w:rsidR="0037194E" w:rsidRDefault="0037194E" w:rsidP="0037194E">
            <w:pPr>
              <w:pStyle w:val="Contedodatabela"/>
              <w:numPr>
                <w:ilvl w:val="0"/>
                <w:numId w:val="3"/>
              </w:numPr>
              <w:rPr>
                <w:rFonts w:ascii="Arial" w:hAnsi="Arial"/>
                <w:sz w:val="22"/>
                <w:szCs w:val="22"/>
              </w:rPr>
            </w:pPr>
            <w:r>
              <w:rPr>
                <w:rFonts w:ascii="Arial" w:hAnsi="Arial"/>
                <w:sz w:val="22"/>
                <w:szCs w:val="22"/>
              </w:rPr>
              <w:t xml:space="preserve">Cadastro de polígono total de 38.875,83 m² no SIG-RI, abrangidos pela regularização do REURB, abrangendo as quadras </w:t>
            </w:r>
            <w:proofErr w:type="spellStart"/>
            <w:r>
              <w:rPr>
                <w:rFonts w:ascii="Arial" w:hAnsi="Arial"/>
                <w:sz w:val="22"/>
                <w:szCs w:val="22"/>
              </w:rPr>
              <w:t>n°s</w:t>
            </w:r>
            <w:proofErr w:type="spellEnd"/>
            <w:r>
              <w:rPr>
                <w:rFonts w:ascii="Arial" w:hAnsi="Arial"/>
                <w:sz w:val="22"/>
                <w:szCs w:val="22"/>
              </w:rPr>
              <w:t xml:space="preserve"> 24 A, 25 A, 26 A, 42, 45, 49 e 50;</w:t>
            </w:r>
          </w:p>
          <w:p w:rsidR="00630175" w:rsidRDefault="0037194E" w:rsidP="0037194E">
            <w:pPr>
              <w:pStyle w:val="Contedodatabela"/>
              <w:numPr>
                <w:ilvl w:val="0"/>
                <w:numId w:val="3"/>
              </w:numPr>
              <w:rPr>
                <w:rFonts w:ascii="Arial" w:hAnsi="Arial"/>
                <w:sz w:val="22"/>
                <w:szCs w:val="22"/>
              </w:rPr>
            </w:pPr>
            <w:r>
              <w:rPr>
                <w:rFonts w:ascii="Arial" w:hAnsi="Arial"/>
                <w:sz w:val="22"/>
                <w:szCs w:val="22"/>
              </w:rPr>
              <w:t xml:space="preserve">Cadastro de todos os lotes </w:t>
            </w:r>
            <w:r w:rsidR="00630175">
              <w:rPr>
                <w:rFonts w:ascii="Arial" w:hAnsi="Arial"/>
                <w:sz w:val="22"/>
                <w:szCs w:val="22"/>
              </w:rPr>
              <w:t>(130) no programa do Cartório de Registros de Imóveis-SIG-RI, abrangidos pelo programa de regularização fundiária-REURB;</w:t>
            </w:r>
          </w:p>
          <w:p w:rsidR="00630175" w:rsidRDefault="00630175" w:rsidP="0037194E">
            <w:pPr>
              <w:pStyle w:val="Contedodatabela"/>
              <w:numPr>
                <w:ilvl w:val="0"/>
                <w:numId w:val="3"/>
              </w:numPr>
              <w:rPr>
                <w:rFonts w:ascii="Arial" w:hAnsi="Arial"/>
                <w:sz w:val="22"/>
                <w:szCs w:val="22"/>
              </w:rPr>
            </w:pPr>
            <w:r>
              <w:rPr>
                <w:rFonts w:ascii="Arial" w:hAnsi="Arial"/>
                <w:sz w:val="22"/>
                <w:szCs w:val="22"/>
              </w:rPr>
              <w:t>Cadastro das ruas (06) no programa do Cartório de Registro de Imóveis-SIG-RI;</w:t>
            </w:r>
          </w:p>
          <w:p w:rsidR="00630175" w:rsidRDefault="00630175" w:rsidP="0037194E">
            <w:pPr>
              <w:pStyle w:val="Contedodatabela"/>
              <w:numPr>
                <w:ilvl w:val="0"/>
                <w:numId w:val="3"/>
              </w:numPr>
              <w:rPr>
                <w:rFonts w:ascii="Arial" w:hAnsi="Arial"/>
                <w:sz w:val="22"/>
                <w:szCs w:val="22"/>
              </w:rPr>
            </w:pPr>
            <w:r>
              <w:rPr>
                <w:rFonts w:ascii="Arial" w:hAnsi="Arial"/>
                <w:sz w:val="22"/>
                <w:szCs w:val="22"/>
              </w:rPr>
              <w:t>A empresa contratada, através do profissional deverá disponibilizar ao Município por meio magnético e físico cópia dos arquivos enviados;</w:t>
            </w:r>
          </w:p>
          <w:p w:rsidR="00630175" w:rsidRDefault="00630175" w:rsidP="00630175">
            <w:pPr>
              <w:pStyle w:val="Contedodatabela"/>
              <w:numPr>
                <w:ilvl w:val="0"/>
                <w:numId w:val="3"/>
              </w:numPr>
              <w:rPr>
                <w:rFonts w:ascii="Arial" w:hAnsi="Arial"/>
                <w:sz w:val="22"/>
                <w:szCs w:val="22"/>
              </w:rPr>
            </w:pPr>
            <w:r>
              <w:rPr>
                <w:rFonts w:ascii="Arial" w:hAnsi="Arial"/>
                <w:sz w:val="22"/>
                <w:szCs w:val="22"/>
              </w:rPr>
              <w:t>Emitir a respectiva RT dos serviços prestados;</w:t>
            </w:r>
          </w:p>
          <w:p w:rsidR="0037194E" w:rsidRDefault="00630175" w:rsidP="00630175">
            <w:pPr>
              <w:pStyle w:val="Contedodatabela"/>
              <w:numPr>
                <w:ilvl w:val="0"/>
                <w:numId w:val="3"/>
              </w:numPr>
              <w:rPr>
                <w:rFonts w:ascii="Arial" w:hAnsi="Arial"/>
                <w:sz w:val="22"/>
                <w:szCs w:val="22"/>
              </w:rPr>
            </w:pPr>
            <w:r>
              <w:rPr>
                <w:rFonts w:ascii="Arial" w:hAnsi="Arial"/>
                <w:sz w:val="22"/>
                <w:szCs w:val="22"/>
              </w:rPr>
              <w:t xml:space="preserve">Demais documentos e exigências do RI, relativos à prestação dos serviços; </w:t>
            </w:r>
          </w:p>
        </w:tc>
      </w:tr>
    </w:tbl>
    <w:p w:rsidR="000A019F" w:rsidRDefault="000A019F">
      <w:pPr>
        <w:rPr>
          <w:rFonts w:ascii="Arial" w:hAnsi="Arial"/>
          <w:sz w:val="22"/>
          <w:szCs w:val="22"/>
        </w:rPr>
      </w:pPr>
    </w:p>
    <w:p w:rsidR="000A019F" w:rsidRDefault="000A019F">
      <w:pPr>
        <w:rPr>
          <w:sz w:val="22"/>
          <w:szCs w:val="22"/>
        </w:rPr>
      </w:pPr>
    </w:p>
    <w:p w:rsidR="000A019F" w:rsidRDefault="000A019F">
      <w:pPr>
        <w:rPr>
          <w:sz w:val="22"/>
          <w:szCs w:val="22"/>
        </w:rPr>
      </w:pPr>
    </w:p>
    <w:p w:rsidR="00FB6C8C" w:rsidRDefault="00FB6C8C">
      <w:pPr>
        <w:rPr>
          <w:sz w:val="22"/>
          <w:szCs w:val="22"/>
        </w:rPr>
      </w:pPr>
    </w:p>
    <w:p w:rsidR="000A019F" w:rsidRDefault="000A019F">
      <w:pPr>
        <w:jc w:val="center"/>
        <w:rPr>
          <w:sz w:val="22"/>
          <w:szCs w:val="22"/>
        </w:rPr>
      </w:pPr>
    </w:p>
    <w:p w:rsidR="000A019F" w:rsidRDefault="00FB6C8C">
      <w:pPr>
        <w:jc w:val="center"/>
        <w:rPr>
          <w:sz w:val="22"/>
          <w:szCs w:val="22"/>
        </w:rPr>
      </w:pPr>
      <w:r>
        <w:rPr>
          <w:sz w:val="22"/>
          <w:szCs w:val="22"/>
        </w:rPr>
        <w:t>CARIMBO E ASSINATURA DA EMPRESA</w:t>
      </w:r>
    </w:p>
    <w:p w:rsidR="000A019F" w:rsidRDefault="000A019F">
      <w:pPr>
        <w:jc w:val="center"/>
        <w:rPr>
          <w:sz w:val="22"/>
          <w:szCs w:val="22"/>
        </w:rPr>
      </w:pPr>
    </w:p>
    <w:sectPr w:rsidR="000A019F" w:rsidSect="0037194E">
      <w:headerReference w:type="default" r:id="rId7"/>
      <w:pgSz w:w="12240" w:h="15840"/>
      <w:pgMar w:top="1440" w:right="1080" w:bottom="1440" w:left="1080" w:header="144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8F9" w:rsidRDefault="00FB6C8C">
      <w:r>
        <w:separator/>
      </w:r>
    </w:p>
  </w:endnote>
  <w:endnote w:type="continuationSeparator" w:id="0">
    <w:p w:rsidR="004518F9" w:rsidRDefault="00FB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8F9" w:rsidRDefault="00FB6C8C">
      <w:r>
        <w:separator/>
      </w:r>
    </w:p>
  </w:footnote>
  <w:footnote w:type="continuationSeparator" w:id="0">
    <w:p w:rsidR="004518F9" w:rsidRDefault="00FB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9F" w:rsidRPr="00997CAD" w:rsidRDefault="00FB6C8C" w:rsidP="00997CAD">
    <w:pPr>
      <w:pStyle w:val="Cabealho"/>
      <w:jc w:val="center"/>
    </w:pPr>
    <w:r>
      <w:rPr>
        <w:noProof/>
        <w:lang w:eastAsia="pt-BR"/>
      </w:rPr>
      <w:drawing>
        <wp:anchor distT="0" distB="0" distL="0" distR="0" simplePos="0" relativeHeight="251658752" behindDoc="0" locked="0" layoutInCell="1" allowOverlap="1">
          <wp:simplePos x="0" y="0"/>
          <wp:positionH relativeFrom="column">
            <wp:posOffset>0</wp:posOffset>
          </wp:positionH>
          <wp:positionV relativeFrom="paragraph">
            <wp:posOffset>-377190</wp:posOffset>
          </wp:positionV>
          <wp:extent cx="762000" cy="76200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r>
      <w:rPr>
        <w:b/>
        <w:bCs/>
        <w:sz w:val="24"/>
        <w:szCs w:val="24"/>
      </w:rPr>
      <w:t>ESTADO DO RIO GRANDE DO SUL</w:t>
    </w:r>
  </w:p>
  <w:p w:rsidR="000A019F" w:rsidRDefault="00FB6C8C">
    <w:pPr>
      <w:pStyle w:val="Cabealho"/>
      <w:jc w:val="center"/>
      <w:rPr>
        <w:b/>
        <w:bCs/>
        <w:sz w:val="24"/>
        <w:szCs w:val="24"/>
      </w:rPr>
    </w:pPr>
    <w:r>
      <w:rPr>
        <w:b/>
        <w:bCs/>
        <w:sz w:val="24"/>
        <w:szCs w:val="24"/>
      </w:rPr>
      <w:t>PREFEITURA MUNICIPAL DE VIADUTOS</w:t>
    </w:r>
  </w:p>
  <w:p w:rsidR="0037194E" w:rsidRDefault="0037194E">
    <w:pPr>
      <w:pStyle w:val="Cabealho"/>
      <w:jc w:val="center"/>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620E1"/>
    <w:multiLevelType w:val="multilevel"/>
    <w:tmpl w:val="420E99E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403B600A"/>
    <w:multiLevelType w:val="hybridMultilevel"/>
    <w:tmpl w:val="79762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5686C4B"/>
    <w:multiLevelType w:val="multilevel"/>
    <w:tmpl w:val="6E6209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A019F"/>
    <w:rsid w:val="000A019F"/>
    <w:rsid w:val="0037194E"/>
    <w:rsid w:val="004518F9"/>
    <w:rsid w:val="00630175"/>
    <w:rsid w:val="00997CAD"/>
    <w:rsid w:val="00FB6C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56F4A-185B-4EE1-9B3E-8D6C9D87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pPr>
      <w:suppressLineNumbers/>
      <w:tabs>
        <w:tab w:val="center" w:pos="4320"/>
        <w:tab w:val="right" w:pos="8640"/>
      </w:tabs>
    </w:pPr>
  </w:style>
  <w:style w:type="paragraph" w:styleId="Cabealho">
    <w:name w:val="header"/>
    <w:basedOn w:val="CabealhoeRodap"/>
  </w:style>
  <w:style w:type="paragraph" w:customStyle="1" w:styleId="Standard">
    <w:name w:val="Standard"/>
    <w:qFormat/>
    <w:pPr>
      <w:widowControl w:val="0"/>
      <w:textAlignment w:val="baseline"/>
    </w:pPr>
    <w:rPr>
      <w:rFonts w:eastAsia="SimSun;宋体"/>
      <w:kern w:val="2"/>
    </w:rPr>
  </w:style>
  <w:style w:type="paragraph" w:styleId="Rodap">
    <w:name w:val="footer"/>
    <w:basedOn w:val="Normal"/>
    <w:link w:val="RodapChar"/>
    <w:uiPriority w:val="99"/>
    <w:unhideWhenUsed/>
    <w:rsid w:val="0037194E"/>
    <w:pPr>
      <w:tabs>
        <w:tab w:val="center" w:pos="4252"/>
        <w:tab w:val="right" w:pos="8504"/>
      </w:tabs>
    </w:pPr>
  </w:style>
  <w:style w:type="character" w:customStyle="1" w:styleId="RodapChar">
    <w:name w:val="Rodapé Char"/>
    <w:basedOn w:val="Fontepargpadro"/>
    <w:link w:val="Rodap"/>
    <w:uiPriority w:val="99"/>
    <w:rsid w:val="0037194E"/>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Sigla</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Sigla</dc:title>
  <dc:subject/>
  <dc:creator>a</dc:creator>
  <cp:keywords/>
  <dc:description/>
  <cp:lastModifiedBy>User</cp:lastModifiedBy>
  <cp:revision>38</cp:revision>
  <cp:lastPrinted>2025-10-07T15:44:00Z</cp:lastPrinted>
  <dcterms:created xsi:type="dcterms:W3CDTF">2023-06-05T10:08:00Z</dcterms:created>
  <dcterms:modified xsi:type="dcterms:W3CDTF">2026-03-04T11:40:00Z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