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Para: Claiton dos Santos Brum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 xml:space="preserve">         </w:t>
      </w:r>
      <w:r>
        <w:rPr>
          <w:rFonts w:eastAsia="Arial Unicode MS" w:cs="Arial Unicode MS" w:ascii="Arial Unicode MS" w:hAnsi="Arial Unicode MS"/>
          <w:sz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ab/>
        <w:t>A Pregoeira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ab/>
        <w:t>Processo nº 370/2024.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ab/>
        <w:t>Modalidade: Pregão presencial nº 15/2024.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ab/>
        <w:t>Objeto: Contratação de empresa para prestação de serviços de monitorização eletrocardiográfica e comodato de equipamento médico.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Viadutos, 18 de junho de 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 xml:space="preserve">  </w:t>
      </w:r>
      <w:r>
        <w:rPr>
          <w:rFonts w:eastAsia="Arial Unicode MS" w:cs="Arial Unicode MS" w:ascii="Arial Unicode MS" w:hAnsi="Arial Unicode MS"/>
          <w:sz w:val="22"/>
          <w:szCs w:val="22"/>
        </w:rPr>
        <w:t xml:space="preserve">   </w:t>
      </w:r>
      <w:r>
        <w:rPr>
          <w:rFonts w:eastAsia="Arial Unicode MS" w:cs="Arial Unicode MS" w:ascii="Arial Unicode MS" w:hAnsi="Arial Unicode MS"/>
          <w:sz w:val="22"/>
          <w:szCs w:val="22"/>
        </w:rPr>
        <w:t>Camile Denise Dallagnol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  <w:t>Pregoeira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  <w:t xml:space="preserve">    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  <w:t>Fernanda  Taise Dolinski             Mateus Antonio Kowalski            Denize Maria Zonin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  <w:t xml:space="preserve">    </w:t>
      </w:r>
      <w:r>
        <w:rPr>
          <w:rFonts w:eastAsia="Arial Unicode MS" w:cs="Arial Unicode MS" w:ascii="Arial Unicode MS" w:hAnsi="Arial Unicode MS"/>
          <w:sz w:val="22"/>
          <w:szCs w:val="22"/>
        </w:rPr>
        <w:t>Equipe de Apoio                           Equipe de Apoio                     Equipe de Apoio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Ciente em 18/06/2024: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Claiton dos Santos Brum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125</Words>
  <Characters>771</Characters>
  <CharactersWithSpaces>974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dcterms:modified xsi:type="dcterms:W3CDTF">2024-06-18T10:34:07Z</dcterms:modified>
  <cp:revision>5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