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05" w:rsidRDefault="00A00F05">
      <w:pPr>
        <w:spacing w:line="276" w:lineRule="auto"/>
        <w:jc w:val="center"/>
        <w:rPr>
          <w:sz w:val="24"/>
          <w:szCs w:val="24"/>
        </w:rPr>
      </w:pPr>
    </w:p>
    <w:p w:rsidR="00A00F05" w:rsidRDefault="00D17DD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Nº113/2026</w:t>
      </w:r>
    </w:p>
    <w:p w:rsidR="00A00F05" w:rsidRDefault="00A00F05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Torna-se público que a Prefeitura Municipal de Viadutos, por meio do Setor de Compras e Licitações pretende proceder a contratação de Dispensa de Licitação para aquisição de materiais ambulatoriais, para uso na UNIDADE BÁSICA DE SAÚDE DR. ERNANI </w:t>
      </w:r>
      <w:proofErr w:type="spellStart"/>
      <w:r>
        <w:rPr>
          <w:rFonts w:ascii="Arial" w:hAnsi="Arial"/>
          <w:sz w:val="24"/>
          <w:szCs w:val="24"/>
        </w:rPr>
        <w:t>BENDER.,cr</w:t>
      </w:r>
      <w:r>
        <w:rPr>
          <w:rFonts w:ascii="Arial" w:hAnsi="Arial"/>
          <w:sz w:val="24"/>
          <w:szCs w:val="24"/>
        </w:rPr>
        <w:t>itério</w:t>
      </w:r>
      <w:proofErr w:type="spellEnd"/>
      <w:r>
        <w:rPr>
          <w:rFonts w:ascii="Arial" w:hAnsi="Arial"/>
          <w:sz w:val="24"/>
          <w:szCs w:val="24"/>
        </w:rPr>
        <w:t xml:space="preserve"> de julgamento menor valor por item</w:t>
      </w:r>
      <w:r>
        <w:rPr>
          <w:rFonts w:ascii="Arial" w:hAnsi="Arial"/>
          <w:sz w:val="24"/>
          <w:szCs w:val="24"/>
        </w:rPr>
        <w:t>, via dispensa de licitação, prevista no art. 75, inciso II, da Lei Federal n. 14.133, de 1º de abril de 2021 e, tem interesse legal em obter propostas adicionais e eventuais interessados que se enquadrem no ramo de a</w:t>
      </w:r>
      <w:r>
        <w:rPr>
          <w:rFonts w:ascii="Arial" w:hAnsi="Arial"/>
          <w:sz w:val="24"/>
          <w:szCs w:val="24"/>
        </w:rPr>
        <w:t xml:space="preserve">tividade do objeto pretendido, nos termos do  § 3º do artigo 75 da lei de licitações. As propostas adicionais serão recebidas até as 17:00 do terceiro dia útil da publicação deste aviso. As propostas poderão ser entregues pessoalmente na sede do Município </w:t>
      </w:r>
      <w:r>
        <w:rPr>
          <w:rFonts w:ascii="Arial" w:hAnsi="Arial"/>
          <w:sz w:val="24"/>
          <w:szCs w:val="24"/>
        </w:rPr>
        <w:t>ou via e-mail compras2@viadutos.rs.gov.br, desde que assinadas digitalmente.</w:t>
      </w:r>
    </w:p>
    <w:p w:rsidR="00A00F05" w:rsidRDefault="00A00F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 oficial do órgão da entidade pública.</w:t>
      </w:r>
    </w:p>
    <w:p w:rsidR="00A00F05" w:rsidRDefault="00A00F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00F05" w:rsidRDefault="00A00F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00F05" w:rsidRDefault="00D17DD7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Viadutos, 18 de março de 2026.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:rsidR="00A00F05" w:rsidRDefault="00A00F05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A00F05" w:rsidRDefault="00A00F05">
      <w:pPr>
        <w:spacing w:line="276" w:lineRule="auto"/>
        <w:jc w:val="both"/>
        <w:rPr>
          <w:sz w:val="24"/>
          <w:szCs w:val="24"/>
        </w:rPr>
      </w:pPr>
    </w:p>
    <w:p w:rsidR="00A00F05" w:rsidRDefault="00D17DD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A00F05" w:rsidRDefault="00A00F05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UBS DR</w:t>
      </w:r>
      <w:r>
        <w:rPr>
          <w:rFonts w:ascii="Arial" w:hAnsi="Arial"/>
          <w:sz w:val="22"/>
          <w:szCs w:val="22"/>
        </w:rPr>
        <w:t xml:space="preserve">. ERNANI BENDER, </w:t>
      </w:r>
      <w:proofErr w:type="gramStart"/>
      <w:r>
        <w:rPr>
          <w:rFonts w:ascii="Arial" w:hAnsi="Arial"/>
          <w:sz w:val="22"/>
          <w:szCs w:val="22"/>
        </w:rPr>
        <w:t>RUA  ÂNGELO</w:t>
      </w:r>
      <w:proofErr w:type="gramEnd"/>
      <w:r>
        <w:rPr>
          <w:rFonts w:ascii="Arial" w:hAnsi="Arial"/>
          <w:sz w:val="22"/>
          <w:szCs w:val="22"/>
        </w:rPr>
        <w:t xml:space="preserve"> ALEGRETTI, N°140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000000"/>
          <w:sz w:val="22"/>
          <w:szCs w:val="22"/>
        </w:rPr>
        <w:t>15</w:t>
      </w:r>
      <w:r>
        <w:rPr>
          <w:rFonts w:ascii="Arial" w:hAnsi="Arial"/>
          <w:color w:val="C9211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dias úteis após o recebimento da Autorização de Empenho.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</w:t>
      </w:r>
      <w:r>
        <w:rPr>
          <w:rFonts w:ascii="Arial" w:hAnsi="Arial"/>
          <w:sz w:val="22"/>
          <w:szCs w:val="22"/>
        </w:rPr>
        <w:t>o, a Administração verificará a existência de sansão que a impeça de contratar, mediante a consulta a cadastros informativos oficiais, em nome da empresa licitante e também seu sócio majoritário.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</w:t>
      </w:r>
      <w:r>
        <w:rPr>
          <w:rFonts w:ascii="Arial" w:hAnsi="Arial"/>
          <w:sz w:val="22"/>
          <w:szCs w:val="22"/>
        </w:rPr>
        <w:t>icipal e Estadual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FGTS</w:t>
      </w:r>
    </w:p>
    <w:p w:rsidR="00A00F05" w:rsidRDefault="00D17DD7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Certidão Negativa de Falência e Concordata</w:t>
      </w:r>
    </w:p>
    <w:p w:rsidR="00A00F05" w:rsidRDefault="00A00F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00F05" w:rsidRDefault="00A00F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00F05" w:rsidRDefault="00D17DD7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 w:rsidR="00A00F05" w:rsidRDefault="00D17DD7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 w:rsidR="00A00F05" w:rsidRDefault="00A00F05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A00F05" w:rsidRDefault="00D17DD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A00F05" w:rsidRDefault="00A00F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00F05" w:rsidRDefault="00A00F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A00F05" w:rsidRDefault="00D17DD7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A00F05" w:rsidRDefault="00D17DD7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A00F05" w:rsidRDefault="00A00F05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2407"/>
        <w:gridCol w:w="1321"/>
        <w:gridCol w:w="1139"/>
        <w:gridCol w:w="1127"/>
        <w:gridCol w:w="1194"/>
        <w:gridCol w:w="1144"/>
      </w:tblGrid>
      <w:tr w:rsidR="00A00F0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Fita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microporosa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1,2cmx10 m, hipoalérgica, autoadesiva,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flexivel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aprovada pela Anvisa.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Gaze 7,5 x 7,5cm, 100% algodão, 8 camadas de tecido, estéril, hidrófila, aprovada pela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ANVISA.Pct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com 500 un.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Gaze 10 </w:t>
            </w:r>
            <w:r>
              <w:rPr>
                <w:rFonts w:ascii="Arial" w:hAnsi="Arial"/>
                <w:sz w:val="22"/>
                <w:szCs w:val="22"/>
              </w:rPr>
              <w:t xml:space="preserve">x 10 cm, 100% algodão, 8 camadas de tecido, estéril, hidrófila, aprovada pela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ANVISA.Pct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com 500 un.</w:t>
            </w:r>
            <w:bookmarkStart w:id="0" w:name="_GoBack"/>
            <w:bookmarkEnd w:id="0"/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Agulha hipodérmica 13 x 4,5mm, de aço inoxidável, esterilizada, atóxica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apirogênica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permite conexão com bicos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slip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lock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bisel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trifacetado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</w:t>
            </w:r>
            <w:r>
              <w:rPr>
                <w:rFonts w:ascii="Arial" w:hAnsi="Arial"/>
                <w:sz w:val="22"/>
                <w:szCs w:val="22"/>
              </w:rPr>
              <w:t xml:space="preserve"> caixa com 100 unidades, aprovada pela ANVISA.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Agulha hipodérmica descartável 40 x 1,2mm, de aço inoxidável, esterilizada, atóxica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apirogênica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permite conexão com bicos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slip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lock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bisel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trifacetado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caixa com 100 unidades, </w:t>
            </w:r>
            <w:r>
              <w:rPr>
                <w:rFonts w:ascii="Arial" w:hAnsi="Arial"/>
                <w:sz w:val="22"/>
                <w:szCs w:val="22"/>
              </w:rPr>
              <w:t>aprovada pela ANVISA.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Agulha hipodérmica descartável, 25 x 0,70mm, de aço inoxidável, esterilizada, atóxica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apirogênica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permite conexão com bicos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slip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lock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bisel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trifacetado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caixa com 100 unidades, aprovada pela ANVISA.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Aparelho de barbear descartável, adequado para pele sensível, 1 ou 2 lâminas de aço inoxidável, cabo ergonômico.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Atadura 6cm de crepom, não adesiva, flexível.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Atadura 10cm de crepom, não adesiva, flexível.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1.000,0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Atadura 20cm de crepom, não adesiva, flexível.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Scalp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23g, estéril, atóxico,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apirogênico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caixa com 100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Seringa descartável 20ml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slip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caixa com 100 unidades, sem agulha.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Soro </w:t>
            </w:r>
            <w:r>
              <w:rPr>
                <w:rFonts w:ascii="Arial" w:hAnsi="Arial"/>
                <w:sz w:val="22"/>
                <w:szCs w:val="22"/>
              </w:rPr>
              <w:t>fisiológico 250ml.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Vaselina líquida (grau farmacêutico) - frasco 100 ml.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Seringa descartável 5ml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luer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slip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caixa com 100 unidades, sem agulha.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Extensor de O², 2m.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Pinça mosquito reta em aço </w:t>
            </w:r>
            <w:r>
              <w:rPr>
                <w:rFonts w:ascii="Arial" w:hAnsi="Arial"/>
                <w:sz w:val="22"/>
                <w:szCs w:val="22"/>
              </w:rPr>
              <w:t>inox, 12cm.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Pinça mosquito curva em aço inox, 12cm.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Tesoura íris reta em aço inox, entre 11,5cm e 12cm.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Tesoura íris curva em aço inox, entre 11,5cm e 12cm.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Lâmina de bisturi descartável em aço </w:t>
            </w:r>
            <w:r>
              <w:rPr>
                <w:rFonts w:ascii="Arial" w:hAnsi="Arial"/>
                <w:sz w:val="22"/>
                <w:szCs w:val="22"/>
              </w:rPr>
              <w:t>inox, tamanho 15, caixa com 100 unidades.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cx</w:t>
            </w:r>
            <w:proofErr w:type="spellEnd"/>
            <w:proofErr w:type="gram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Solução antisséptica aquosa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clorexidina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0,2%, antibacteriana,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hipoalergênica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sem fragrância, uso externo. Frasco de 100ml.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Solução antisséptica aquosa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clorexidina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0,2%, antibacteriana,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hipoalergênica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sem fragrância, uso externo. Frasco de 1l.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Oxímetro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digital portátil de dedo, com desligamento automático, uso de pilha AAA, indicador de bateria fraca, display OLED, precisão medição de ritmo cardíaco de aprox. 2% e de satu</w:t>
            </w:r>
            <w:r>
              <w:rPr>
                <w:rFonts w:ascii="Arial" w:hAnsi="Arial"/>
                <w:sz w:val="22"/>
                <w:szCs w:val="22"/>
              </w:rPr>
              <w:t xml:space="preserve">ração de oxigênio no sangue de aprox. 3%, capaz de medir curva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pletismográfica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PRbpm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SpO2.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A00F05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Aparelho de pressão digital de braço, com braçadeira de circunferência mínima de 22cm e máxima de 42cm, memória de 30 medições, medição de pressão </w:t>
            </w:r>
            <w:r>
              <w:rPr>
                <w:rFonts w:ascii="Arial" w:hAnsi="Arial"/>
                <w:sz w:val="22"/>
                <w:szCs w:val="22"/>
              </w:rPr>
              <w:t>arterial sistólica, diastólica e de frequência cardíaca, alimentação com 4 pilhas AA, indicador de batimento cardíaco irregular, detector de movimento corporal e indicador de erro de movimento. Dimensões de 10 x 12 x 12cm e peso de 300g.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D17DD7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F05" w:rsidRDefault="00A00F05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00F05" w:rsidRDefault="00A00F05">
      <w:pPr>
        <w:rPr>
          <w:rFonts w:ascii="Arial" w:hAnsi="Arial"/>
          <w:sz w:val="22"/>
          <w:szCs w:val="22"/>
        </w:rPr>
      </w:pPr>
    </w:p>
    <w:p w:rsidR="00A00F05" w:rsidRDefault="00A00F05">
      <w:pPr>
        <w:rPr>
          <w:sz w:val="22"/>
          <w:szCs w:val="22"/>
        </w:rPr>
      </w:pPr>
    </w:p>
    <w:p w:rsidR="00A00F05" w:rsidRDefault="00A00F05">
      <w:pPr>
        <w:rPr>
          <w:sz w:val="22"/>
          <w:szCs w:val="22"/>
        </w:rPr>
      </w:pPr>
    </w:p>
    <w:p w:rsidR="00A00F05" w:rsidRDefault="00A00F05">
      <w:pPr>
        <w:jc w:val="center"/>
        <w:rPr>
          <w:sz w:val="22"/>
          <w:szCs w:val="22"/>
        </w:rPr>
      </w:pPr>
    </w:p>
    <w:p w:rsidR="00A00F05" w:rsidRDefault="00D17DD7">
      <w:pPr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 w:rsidR="00A00F05" w:rsidRDefault="00A00F05">
      <w:pPr>
        <w:jc w:val="center"/>
        <w:rPr>
          <w:sz w:val="22"/>
          <w:szCs w:val="22"/>
        </w:rPr>
      </w:pPr>
    </w:p>
    <w:sectPr w:rsidR="00A00F05">
      <w:headerReference w:type="default" r:id="rId7"/>
      <w:pgSz w:w="12240" w:h="15840"/>
      <w:pgMar w:top="2506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17DD7">
      <w:r>
        <w:separator/>
      </w:r>
    </w:p>
  </w:endnote>
  <w:endnote w:type="continuationSeparator" w:id="0">
    <w:p w:rsidR="00000000" w:rsidRDefault="00D1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17DD7">
      <w:r>
        <w:separator/>
      </w:r>
    </w:p>
  </w:footnote>
  <w:footnote w:type="continuationSeparator" w:id="0">
    <w:p w:rsidR="00000000" w:rsidRDefault="00D17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05" w:rsidRDefault="00D17DD7">
    <w:pPr>
      <w:pStyle w:val="Cabealho"/>
    </w:pPr>
    <w:r>
      <w:rPr>
        <w:noProof/>
        <w:lang w:eastAsia="pt-BR"/>
      </w:rPr>
      <w:drawing>
        <wp:anchor distT="0" distB="0" distL="0" distR="0" simplePos="0" relativeHeight="6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F05" w:rsidRDefault="00D17DD7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:rsidR="00A00F05" w:rsidRDefault="00D17DD7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95538"/>
    <w:multiLevelType w:val="multilevel"/>
    <w:tmpl w:val="33A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0E06C27"/>
    <w:multiLevelType w:val="multilevel"/>
    <w:tmpl w:val="A10818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00F05"/>
    <w:rsid w:val="00A00F05"/>
    <w:rsid w:val="00D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947E7-A731-4D6C-B561-85126C0F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</vt:lpstr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User</cp:lastModifiedBy>
  <cp:revision>37</cp:revision>
  <cp:lastPrinted>2025-10-07T15:44:00Z</cp:lastPrinted>
  <dcterms:created xsi:type="dcterms:W3CDTF">2023-06-05T10:08:00Z</dcterms:created>
  <dcterms:modified xsi:type="dcterms:W3CDTF">2026-03-18T16:54:00Z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