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sz w:val="24"/>
          <w:szCs w:val="24"/>
        </w:rPr>
      </w:pPr>
      <w:r>
        <w:rPr>
          <w:sz w:val="24"/>
          <w:szCs w:val="24"/>
        </w:rPr>
      </w:r>
    </w:p>
    <w:p>
      <w:pPr>
        <w:pStyle w:val="Normal"/>
        <w:spacing w:lineRule="auto" w:line="276"/>
        <w:jc w:val="center"/>
        <w:rPr>
          <w:sz w:val="24"/>
          <w:szCs w:val="24"/>
        </w:rPr>
      </w:pPr>
      <w:r>
        <w:rPr>
          <w:sz w:val="24"/>
          <w:szCs w:val="24"/>
        </w:rPr>
        <w:tab/>
      </w:r>
      <w:r>
        <w:rPr>
          <w:sz w:val="22"/>
          <w:szCs w:val="22"/>
        </w:rPr>
        <w:t>AVISO DE DISPENSA LICITAÇÃO Nº413/2025</w:t>
      </w:r>
    </w:p>
    <w:p>
      <w:pPr>
        <w:pStyle w:val="Normal"/>
        <w:spacing w:lineRule="auto" w:line="276"/>
        <w:jc w:val="center"/>
        <w:rPr>
          <w:sz w:val="22"/>
          <w:szCs w:val="22"/>
        </w:rPr>
      </w:pPr>
      <w:r>
        <w:rPr>
          <w:sz w:val="22"/>
          <w:szCs w:val="22"/>
        </w:rPr>
      </w:r>
    </w:p>
    <w:p>
      <w:pPr>
        <w:pStyle w:val="Normal"/>
        <w:spacing w:lineRule="auto" w:line="276"/>
        <w:jc w:val="both"/>
        <w:rPr>
          <w:sz w:val="22"/>
          <w:szCs w:val="22"/>
        </w:rPr>
      </w:pPr>
      <w:r>
        <w:rPr>
          <w:sz w:val="22"/>
          <w:szCs w:val="22"/>
        </w:rPr>
        <w:t xml:space="preserve">O Município de Viadutos torna público para recebimento de possíveis propostas de conformidade ao § 3º do artigo 75 da lei de licitações - para conhecimento dos interessados a PUBLICAÇÃO do processo de dispensa de licitação nº.413/2025, </w:t>
      </w:r>
      <w:r>
        <w:rPr>
          <w:sz w:val="22"/>
          <w:szCs w:val="22"/>
        </w:rPr>
        <w:t>que tem por objeto</w:t>
      </w:r>
      <w:r>
        <w:rPr>
          <w:sz w:val="22"/>
          <w:szCs w:val="22"/>
        </w:rPr>
        <w:t xml:space="preserve"> aquisição de material para uso nos atendimentos odontológicos na Unidade Básica de Saúde. Tipo-</w:t>
      </w:r>
      <w:r>
        <w:rPr>
          <w:sz w:val="22"/>
          <w:szCs w:val="22"/>
        </w:rPr>
        <w:t>MENOR PREÇO POR ITEM-</w:t>
      </w:r>
      <w:r>
        <w:rPr>
          <w:sz w:val="22"/>
          <w:szCs w:val="22"/>
        </w:rPr>
        <w:t xml:space="preserve">. As propostas deverão ser entregues </w:t>
      </w:r>
      <w:r>
        <w:rPr>
          <w:sz w:val="22"/>
          <w:szCs w:val="22"/>
        </w:rPr>
        <w:t>até as</w:t>
      </w:r>
      <w:r>
        <w:rPr>
          <w:sz w:val="22"/>
          <w:szCs w:val="22"/>
        </w:rPr>
        <w:t xml:space="preserve"> 17:00 do terceiro dia útil da publicação deste extrato, conforme anexo I do referido </w:t>
      </w:r>
      <w:r>
        <w:rPr>
          <w:sz w:val="22"/>
          <w:szCs w:val="22"/>
        </w:rPr>
        <w:t>modelo de orçamento,</w:t>
      </w:r>
      <w:r>
        <w:rPr>
          <w:sz w:val="22"/>
          <w:szCs w:val="22"/>
        </w:rPr>
        <w:t xml:space="preserve"> que pode ser encontrado no site www.viadutos.rs.gov.br, ou na sede do Município Rua Anastácio Ribeiro nº 84 Centro, Viadutos. As propostas poderão ser entregues pessoalmente na sede do Município ou via e-mail compras</w:t>
      </w:r>
      <w:r>
        <w:rPr>
          <w:sz w:val="22"/>
          <w:szCs w:val="22"/>
        </w:rPr>
        <w:t>2</w:t>
      </w:r>
      <w:r>
        <w:rPr>
          <w:sz w:val="22"/>
          <w:szCs w:val="22"/>
        </w:rPr>
        <w:t xml:space="preserve">@viadutos.rs.gov.br, desde que assinadas digitalmente. Dúvidas podem ser sanadas na sede do Município, ou via telefone: 54 3196 3060. Horário de atendimento (inclusive para entregas da proposta): das 08:00 às 17:00. </w:t>
      </w:r>
    </w:p>
    <w:p>
      <w:pPr>
        <w:pStyle w:val="Normal"/>
        <w:spacing w:lineRule="auto" w:line="276"/>
        <w:jc w:val="both"/>
        <w:rPr>
          <w:sz w:val="22"/>
          <w:szCs w:val="22"/>
        </w:rPr>
      </w:pPr>
      <w:r>
        <w:rPr>
          <w:sz w:val="22"/>
          <w:szCs w:val="22"/>
        </w:rPr>
      </w:r>
    </w:p>
    <w:p>
      <w:pPr>
        <w:pStyle w:val="Normal"/>
        <w:spacing w:lineRule="auto" w:line="276"/>
        <w:jc w:val="both"/>
        <w:rPr>
          <w:sz w:val="22"/>
          <w:szCs w:val="22"/>
        </w:rPr>
      </w:pPr>
      <w:r>
        <w:rPr>
          <w:sz w:val="22"/>
          <w:szCs w:val="22"/>
        </w:rPr>
        <w:t>Camile Dallagnol – Agente de contratação do Município.</w:t>
      </w:r>
    </w:p>
    <w:p>
      <w:pPr>
        <w:pStyle w:val="Normal"/>
        <w:spacing w:lineRule="auto" w:line="276"/>
        <w:jc w:val="both"/>
        <w:rPr>
          <w:sz w:val="22"/>
          <w:szCs w:val="22"/>
        </w:rPr>
      </w:pPr>
      <w:r>
        <w:rPr>
          <w:sz w:val="22"/>
          <w:szCs w:val="22"/>
        </w:rPr>
      </w:r>
    </w:p>
    <w:p>
      <w:pPr>
        <w:pStyle w:val="Normal"/>
        <w:spacing w:lineRule="auto" w:line="276"/>
        <w:jc w:val="left"/>
        <w:rPr>
          <w:sz w:val="22"/>
          <w:szCs w:val="22"/>
        </w:rPr>
      </w:pPr>
      <w:r>
        <w:rPr>
          <w:sz w:val="22"/>
          <w:szCs w:val="22"/>
        </w:rPr>
        <w:t xml:space="preserve">Viadutos, </w:t>
      </w:r>
      <w:r>
        <w:rPr>
          <w:sz w:val="22"/>
          <w:szCs w:val="22"/>
        </w:rPr>
        <w:t>26 de setembro de 2025.</w:t>
      </w:r>
      <w:r>
        <w:rPr>
          <w:sz w:val="22"/>
          <w:szCs w:val="22"/>
        </w:rPr>
        <w:tab/>
        <w:tab/>
        <w:tab/>
      </w:r>
      <w:r>
        <w:rPr>
          <w:sz w:val="22"/>
          <w:szCs w:val="22"/>
        </w:rPr>
        <w:t xml:space="preserve"> </w:t>
      </w:r>
    </w:p>
    <w:p>
      <w:pPr>
        <w:pStyle w:val="Normal"/>
        <w:spacing w:lineRule="auto" w:line="276"/>
        <w:jc w:val="both"/>
        <w:rPr>
          <w:sz w:val="22"/>
          <w:szCs w:val="22"/>
        </w:rPr>
      </w:pPr>
      <w:r>
        <w:rPr>
          <w:sz w:val="22"/>
          <w:szCs w:val="22"/>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jc w:val="center"/>
        <w:rPr>
          <w:b/>
          <w:b/>
          <w:bCs/>
          <w:sz w:val="22"/>
          <w:szCs w:val="22"/>
        </w:rPr>
      </w:pPr>
      <w:r>
        <w:rPr>
          <w:b/>
          <w:bCs/>
          <w:sz w:val="22"/>
          <w:szCs w:val="22"/>
        </w:rPr>
      </w:r>
    </w:p>
    <w:p>
      <w:pPr>
        <w:pStyle w:val="Normal"/>
        <w:spacing w:lineRule="auto" w:line="276"/>
        <w:jc w:val="center"/>
        <w:rPr>
          <w:b/>
          <w:b/>
          <w:bCs/>
          <w:sz w:val="22"/>
          <w:szCs w:val="22"/>
        </w:rPr>
      </w:pPr>
      <w:r>
        <w:rPr>
          <w:b/>
          <w:bCs/>
          <w:sz w:val="22"/>
          <w:szCs w:val="22"/>
        </w:rPr>
        <w:t>Anexo I</w:t>
      </w:r>
    </w:p>
    <w:p>
      <w:pPr>
        <w:pStyle w:val="Normal"/>
        <w:spacing w:lineRule="auto" w:line="276"/>
        <w:jc w:val="center"/>
        <w:rPr>
          <w:b/>
          <w:b/>
          <w:bCs/>
          <w:sz w:val="22"/>
          <w:szCs w:val="22"/>
        </w:rPr>
      </w:pPr>
      <w:r>
        <w:rPr>
          <w:b/>
          <w:bCs/>
          <w:sz w:val="22"/>
          <w:szCs w:val="22"/>
        </w:rPr>
        <w:t>Modelo de Orçamento</w:t>
      </w:r>
    </w:p>
    <w:p>
      <w:pPr>
        <w:pStyle w:val="Normal"/>
        <w:spacing w:lineRule="auto" w:line="276"/>
        <w:jc w:val="center"/>
        <w:rPr>
          <w:sz w:val="22"/>
          <w:szCs w:val="22"/>
        </w:rPr>
      </w:pPr>
      <w:r>
        <w:rPr>
          <w:sz w:val="22"/>
          <w:szCs w:val="22"/>
        </w:rPr>
      </w:r>
    </w:p>
    <w:tbl>
      <w:tblPr>
        <w:tblW w:w="10110" w:type="dxa"/>
        <w:jc w:val="left"/>
        <w:tblInd w:w="-418" w:type="dxa"/>
        <w:tblCellMar>
          <w:top w:w="55" w:type="dxa"/>
          <w:left w:w="55" w:type="dxa"/>
          <w:bottom w:w="55" w:type="dxa"/>
          <w:right w:w="55" w:type="dxa"/>
        </w:tblCellMar>
      </w:tblPr>
      <w:tblGrid>
        <w:gridCol w:w="630"/>
        <w:gridCol w:w="675"/>
        <w:gridCol w:w="3405"/>
        <w:gridCol w:w="1125"/>
        <w:gridCol w:w="750"/>
        <w:gridCol w:w="1147"/>
        <w:gridCol w:w="1207"/>
        <w:gridCol w:w="1171"/>
      </w:tblGrid>
      <w:tr>
        <w:trPr/>
        <w:tc>
          <w:tcPr>
            <w:tcW w:w="630"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Lote</w:t>
            </w:r>
          </w:p>
        </w:tc>
        <w:tc>
          <w:tcPr>
            <w:tcW w:w="675"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Item</w:t>
            </w:r>
          </w:p>
        </w:tc>
        <w:tc>
          <w:tcPr>
            <w:tcW w:w="3405"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Descrição</w:t>
            </w:r>
          </w:p>
        </w:tc>
        <w:tc>
          <w:tcPr>
            <w:tcW w:w="1125"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Quant</w:t>
            </w:r>
          </w:p>
        </w:tc>
        <w:tc>
          <w:tcPr>
            <w:tcW w:w="750"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w:t>
            </w:r>
            <w:r>
              <w:rPr>
                <w:b/>
                <w:bCs/>
                <w:sz w:val="22"/>
                <w:szCs w:val="22"/>
              </w:rPr>
              <w:t>d</w:t>
            </w:r>
          </w:p>
        </w:tc>
        <w:tc>
          <w:tcPr>
            <w:tcW w:w="114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Marca</w:t>
            </w:r>
          </w:p>
        </w:tc>
        <w:tc>
          <w:tcPr>
            <w:tcW w:w="1207" w:type="dxa"/>
            <w:tcBorders>
              <w:top w:val="single" w:sz="2" w:space="0" w:color="000000"/>
              <w:left w:val="single" w:sz="2" w:space="0" w:color="000000"/>
              <w:bottom w:val="single" w:sz="2" w:space="0" w:color="000000"/>
            </w:tcBorders>
          </w:tcPr>
          <w:p>
            <w:pPr>
              <w:pStyle w:val="Contedodatabela"/>
              <w:jc w:val="center"/>
              <w:rPr>
                <w:b/>
                <w:b/>
                <w:bCs/>
                <w:sz w:val="22"/>
                <w:szCs w:val="22"/>
              </w:rPr>
            </w:pPr>
            <w:r>
              <w:rPr>
                <w:b/>
                <w:bCs/>
                <w:sz w:val="22"/>
                <w:szCs w:val="22"/>
              </w:rPr>
              <w:t>Unitário</w:t>
            </w:r>
          </w:p>
        </w:tc>
        <w:tc>
          <w:tcPr>
            <w:tcW w:w="1171"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sz w:val="22"/>
                <w:szCs w:val="22"/>
              </w:rPr>
            </w:pPr>
            <w:r>
              <w:rPr>
                <w:b/>
                <w:bCs/>
                <w:sz w:val="22"/>
                <w:szCs w:val="22"/>
              </w:rPr>
              <w:t>Total</w:t>
            </w:r>
          </w:p>
        </w:tc>
      </w:tr>
      <w:tr>
        <w:trPr/>
        <w:tc>
          <w:tcPr>
            <w:tcW w:w="630"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675"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3405" w:type="dxa"/>
            <w:tcBorders>
              <w:left w:val="single" w:sz="2" w:space="0" w:color="000000"/>
              <w:bottom w:val="single" w:sz="2" w:space="0" w:color="000000"/>
            </w:tcBorders>
          </w:tcPr>
          <w:p>
            <w:pPr>
              <w:pStyle w:val="Contedodatabela"/>
              <w:jc w:val="both"/>
              <w:rPr>
                <w:sz w:val="22"/>
                <w:szCs w:val="22"/>
              </w:rPr>
            </w:pPr>
            <w:r>
              <w:rPr>
                <w:sz w:val="22"/>
                <w:szCs w:val="22"/>
              </w:rPr>
              <w:t>Mini incubadora Bivolt para controle biológico de esterilização e clinicas odontológicas; dimensões 8,7 cm x 7,6cm, tampa 3,3 cm x 7cm, peso 300g, orifício indicador 10mm x 37mm DXP; encubação de até 4 indicadores biológicos; temperatura 60° C; LED indicador para acompanhar funcionamento e resultado; ciclo de 24 a 48 horas.</w:t>
            </w:r>
          </w:p>
        </w:tc>
        <w:tc>
          <w:tcPr>
            <w:tcW w:w="1125" w:type="dxa"/>
            <w:tcBorders>
              <w:left w:val="single" w:sz="2" w:space="0" w:color="000000"/>
              <w:bottom w:val="single" w:sz="2" w:space="0" w:color="000000"/>
            </w:tcBorders>
          </w:tcPr>
          <w:p>
            <w:pPr>
              <w:pStyle w:val="Contedodatabela"/>
              <w:jc w:val="center"/>
              <w:rPr>
                <w:sz w:val="22"/>
                <w:szCs w:val="22"/>
              </w:rPr>
            </w:pPr>
            <w:r>
              <w:rPr>
                <w:sz w:val="22"/>
                <w:szCs w:val="22"/>
              </w:rPr>
              <w:t>1,0</w:t>
            </w:r>
          </w:p>
        </w:tc>
        <w:tc>
          <w:tcPr>
            <w:tcW w:w="750"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630"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675" w:type="dxa"/>
            <w:tcBorders>
              <w:left w:val="single" w:sz="2" w:space="0" w:color="000000"/>
              <w:bottom w:val="single" w:sz="2" w:space="0" w:color="000000"/>
            </w:tcBorders>
          </w:tcPr>
          <w:p>
            <w:pPr>
              <w:pStyle w:val="Contedodatabela"/>
              <w:jc w:val="center"/>
              <w:rPr>
                <w:sz w:val="22"/>
                <w:szCs w:val="22"/>
              </w:rPr>
            </w:pPr>
            <w:r>
              <w:rPr>
                <w:sz w:val="22"/>
                <w:szCs w:val="22"/>
              </w:rPr>
              <w:t>2</w:t>
            </w:r>
          </w:p>
        </w:tc>
        <w:tc>
          <w:tcPr>
            <w:tcW w:w="3405" w:type="dxa"/>
            <w:tcBorders>
              <w:left w:val="single" w:sz="2" w:space="0" w:color="000000"/>
              <w:bottom w:val="single" w:sz="2" w:space="0" w:color="000000"/>
            </w:tcBorders>
          </w:tcPr>
          <w:p>
            <w:pPr>
              <w:pStyle w:val="Contedodatabela"/>
              <w:jc w:val="both"/>
              <w:rPr>
                <w:sz w:val="22"/>
                <w:szCs w:val="22"/>
              </w:rPr>
            </w:pPr>
            <w:r>
              <w:rPr>
                <w:sz w:val="22"/>
                <w:szCs w:val="22"/>
              </w:rPr>
              <w:t xml:space="preserve">Ultrassom   Equipamento odontológico destinado a remoção de tártaro e biofilme dentário, painel com potência precisa e fluxo de água, adequando-se para cada procedimento permitindo, chave fix dos insertos, mangueira, pé fonte de alimentação </w:t>
            </w:r>
          </w:p>
        </w:tc>
        <w:tc>
          <w:tcPr>
            <w:tcW w:w="1125" w:type="dxa"/>
            <w:tcBorders>
              <w:left w:val="single" w:sz="2" w:space="0" w:color="000000"/>
              <w:bottom w:val="single" w:sz="2" w:space="0" w:color="000000"/>
            </w:tcBorders>
          </w:tcPr>
          <w:p>
            <w:pPr>
              <w:pStyle w:val="Contedodatabela"/>
              <w:jc w:val="center"/>
              <w:rPr>
                <w:sz w:val="22"/>
                <w:szCs w:val="22"/>
              </w:rPr>
            </w:pPr>
            <w:r>
              <w:rPr>
                <w:sz w:val="22"/>
                <w:szCs w:val="22"/>
              </w:rPr>
              <w:t>1,0</w:t>
            </w:r>
          </w:p>
        </w:tc>
        <w:tc>
          <w:tcPr>
            <w:tcW w:w="750"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630"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675" w:type="dxa"/>
            <w:tcBorders>
              <w:left w:val="single" w:sz="2" w:space="0" w:color="000000"/>
              <w:bottom w:val="single" w:sz="2" w:space="0" w:color="000000"/>
            </w:tcBorders>
          </w:tcPr>
          <w:p>
            <w:pPr>
              <w:pStyle w:val="Contedodatabela"/>
              <w:jc w:val="center"/>
              <w:rPr>
                <w:sz w:val="22"/>
                <w:szCs w:val="22"/>
              </w:rPr>
            </w:pPr>
            <w:r>
              <w:rPr>
                <w:sz w:val="22"/>
                <w:szCs w:val="22"/>
              </w:rPr>
              <w:t>3</w:t>
            </w:r>
          </w:p>
        </w:tc>
        <w:tc>
          <w:tcPr>
            <w:tcW w:w="3405" w:type="dxa"/>
            <w:tcBorders>
              <w:left w:val="single" w:sz="2" w:space="0" w:color="000000"/>
              <w:bottom w:val="single" w:sz="2" w:space="0" w:color="000000"/>
            </w:tcBorders>
          </w:tcPr>
          <w:p>
            <w:pPr>
              <w:pStyle w:val="Contedodatabela"/>
              <w:jc w:val="both"/>
              <w:rPr>
                <w:sz w:val="22"/>
                <w:szCs w:val="22"/>
              </w:rPr>
            </w:pPr>
            <w:r>
              <w:rPr>
                <w:sz w:val="22"/>
                <w:szCs w:val="22"/>
              </w:rPr>
              <w:t>Aparelho amalgamador indicado para trituração e homogeneização de materias odontológicos encapsulados, como amalgamas e ionômero de vídeo, temporizador digital para segurança, garfo metálico com sistema universal, permitindo a fixação de todos os modelos de capsulas de amálgama e capsulas de embolo (IV), tampa de proteção em acrílico, emissões de 3 bips, caso a tampa esteja aberta, chave geral liga e desliga, temporizador eletrônico digital de até 99 segundos, seleção de baixa e alta velocidade, haste batedora com dupla velocidade, média de 4200 oscilação por minuto e alta 500 oscilações  por minuto, corpo injetado em ABS, grande amplitude e frequência da haste, em forma de oito (8).</w:t>
            </w:r>
          </w:p>
        </w:tc>
        <w:tc>
          <w:tcPr>
            <w:tcW w:w="1125" w:type="dxa"/>
            <w:tcBorders>
              <w:left w:val="single" w:sz="2" w:space="0" w:color="000000"/>
              <w:bottom w:val="single" w:sz="2" w:space="0" w:color="000000"/>
            </w:tcBorders>
          </w:tcPr>
          <w:p>
            <w:pPr>
              <w:pStyle w:val="Contedodatabela"/>
              <w:jc w:val="center"/>
              <w:rPr>
                <w:sz w:val="22"/>
                <w:szCs w:val="22"/>
              </w:rPr>
            </w:pPr>
            <w:r>
              <w:rPr>
                <w:sz w:val="22"/>
                <w:szCs w:val="22"/>
              </w:rPr>
              <w:t>1,0</w:t>
            </w:r>
          </w:p>
        </w:tc>
        <w:tc>
          <w:tcPr>
            <w:tcW w:w="750" w:type="dxa"/>
            <w:tcBorders>
              <w:left w:val="single" w:sz="2" w:space="0" w:color="000000"/>
              <w:bottom w:val="single" w:sz="2" w:space="0" w:color="000000"/>
            </w:tcBorders>
          </w:tcPr>
          <w:p>
            <w:pPr>
              <w:pStyle w:val="Contedodatabela"/>
              <w:jc w:val="center"/>
              <w:rPr>
                <w:sz w:val="22"/>
                <w:szCs w:val="22"/>
              </w:rPr>
            </w:pPr>
            <w:r>
              <w:rPr>
                <w:sz w:val="22"/>
                <w:szCs w:val="22"/>
              </w:rPr>
              <w:t>Und</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630"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675" w:type="dxa"/>
            <w:tcBorders>
              <w:left w:val="single" w:sz="2" w:space="0" w:color="000000"/>
              <w:bottom w:val="single" w:sz="2" w:space="0" w:color="000000"/>
            </w:tcBorders>
          </w:tcPr>
          <w:p>
            <w:pPr>
              <w:pStyle w:val="Contedodatabela"/>
              <w:jc w:val="center"/>
              <w:rPr>
                <w:sz w:val="22"/>
                <w:szCs w:val="22"/>
              </w:rPr>
            </w:pPr>
            <w:r>
              <w:rPr>
                <w:sz w:val="22"/>
                <w:szCs w:val="22"/>
              </w:rPr>
              <w:t>4</w:t>
            </w:r>
          </w:p>
        </w:tc>
        <w:tc>
          <w:tcPr>
            <w:tcW w:w="3405" w:type="dxa"/>
            <w:tcBorders>
              <w:left w:val="single" w:sz="2" w:space="0" w:color="000000"/>
              <w:bottom w:val="single" w:sz="2" w:space="0" w:color="000000"/>
            </w:tcBorders>
          </w:tcPr>
          <w:p>
            <w:pPr>
              <w:pStyle w:val="Contedodatabela"/>
              <w:jc w:val="both"/>
              <w:rPr>
                <w:sz w:val="22"/>
                <w:szCs w:val="22"/>
              </w:rPr>
            </w:pPr>
            <w:r>
              <w:rPr>
                <w:sz w:val="22"/>
                <w:szCs w:val="22"/>
              </w:rPr>
              <w:t>LUVAS PARA PROCEDIMENTO NÃO CIRÚRGICO, LÁTEX DE BORRACHA NATURAL, SUPERFÍCIE MICROTEXTURIZADA, AMBIDESTRA, NÃO ESTÉRIL, SEM PÓ, CAIXA COM 100 UNIDADES, TAMANHO P.</w:t>
            </w:r>
          </w:p>
        </w:tc>
        <w:tc>
          <w:tcPr>
            <w:tcW w:w="1125" w:type="dxa"/>
            <w:tcBorders>
              <w:left w:val="single" w:sz="2" w:space="0" w:color="000000"/>
              <w:bottom w:val="single" w:sz="2" w:space="0" w:color="000000"/>
            </w:tcBorders>
          </w:tcPr>
          <w:p>
            <w:pPr>
              <w:pStyle w:val="Contedodatabela"/>
              <w:jc w:val="center"/>
              <w:rPr>
                <w:sz w:val="22"/>
                <w:szCs w:val="22"/>
              </w:rPr>
            </w:pPr>
            <w:r>
              <w:rPr>
                <w:sz w:val="22"/>
                <w:szCs w:val="22"/>
              </w:rPr>
              <w:t>60,0</w:t>
            </w:r>
          </w:p>
        </w:tc>
        <w:tc>
          <w:tcPr>
            <w:tcW w:w="750" w:type="dxa"/>
            <w:tcBorders>
              <w:left w:val="single" w:sz="2" w:space="0" w:color="000000"/>
              <w:bottom w:val="single" w:sz="2" w:space="0" w:color="000000"/>
            </w:tcBorders>
          </w:tcPr>
          <w:p>
            <w:pPr>
              <w:pStyle w:val="Contedodatabela"/>
              <w:jc w:val="center"/>
              <w:rPr>
                <w:sz w:val="22"/>
                <w:szCs w:val="22"/>
              </w:rPr>
            </w:pPr>
            <w:r>
              <w:rPr>
                <w:sz w:val="22"/>
                <w:szCs w:val="22"/>
              </w:rPr>
              <w:t>cx</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630"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675" w:type="dxa"/>
            <w:tcBorders>
              <w:left w:val="single" w:sz="2" w:space="0" w:color="000000"/>
              <w:bottom w:val="single" w:sz="2" w:space="0" w:color="000000"/>
            </w:tcBorders>
          </w:tcPr>
          <w:p>
            <w:pPr>
              <w:pStyle w:val="Contedodatabela"/>
              <w:jc w:val="center"/>
              <w:rPr>
                <w:sz w:val="22"/>
                <w:szCs w:val="22"/>
              </w:rPr>
            </w:pPr>
            <w:r>
              <w:rPr>
                <w:sz w:val="22"/>
                <w:szCs w:val="22"/>
              </w:rPr>
              <w:t>5</w:t>
            </w:r>
          </w:p>
        </w:tc>
        <w:tc>
          <w:tcPr>
            <w:tcW w:w="3405" w:type="dxa"/>
            <w:tcBorders>
              <w:left w:val="single" w:sz="2" w:space="0" w:color="000000"/>
              <w:bottom w:val="single" w:sz="2" w:space="0" w:color="000000"/>
            </w:tcBorders>
          </w:tcPr>
          <w:p>
            <w:pPr>
              <w:pStyle w:val="Contedodatabela"/>
              <w:jc w:val="both"/>
              <w:rPr>
                <w:sz w:val="22"/>
                <w:szCs w:val="22"/>
              </w:rPr>
            </w:pPr>
            <w:r>
              <w:rPr>
                <w:sz w:val="22"/>
                <w:szCs w:val="22"/>
              </w:rPr>
              <w:t>LUVAS PARA PROCEDIMENTO NÃO CIRÚRGICO, LÁTEX DE BORRACHA NATURAL, SUPERFÍCIE MICROTEXTURIZADA, AMBIDESTRA, NÃO ESTÉRIL, SEM PÓ, CAIXA COM 100 UNIDADES, TAMANHO M.</w:t>
            </w:r>
          </w:p>
        </w:tc>
        <w:tc>
          <w:tcPr>
            <w:tcW w:w="1125" w:type="dxa"/>
            <w:tcBorders>
              <w:left w:val="single" w:sz="2" w:space="0" w:color="000000"/>
              <w:bottom w:val="single" w:sz="2" w:space="0" w:color="000000"/>
            </w:tcBorders>
          </w:tcPr>
          <w:p>
            <w:pPr>
              <w:pStyle w:val="Contedodatabela"/>
              <w:jc w:val="center"/>
              <w:rPr>
                <w:sz w:val="22"/>
                <w:szCs w:val="22"/>
              </w:rPr>
            </w:pPr>
            <w:r>
              <w:rPr>
                <w:sz w:val="22"/>
                <w:szCs w:val="22"/>
              </w:rPr>
              <w:t>40,0</w:t>
            </w:r>
          </w:p>
        </w:tc>
        <w:tc>
          <w:tcPr>
            <w:tcW w:w="750" w:type="dxa"/>
            <w:tcBorders>
              <w:left w:val="single" w:sz="2" w:space="0" w:color="000000"/>
              <w:bottom w:val="single" w:sz="2" w:space="0" w:color="000000"/>
            </w:tcBorders>
          </w:tcPr>
          <w:p>
            <w:pPr>
              <w:pStyle w:val="Contedodatabela"/>
              <w:jc w:val="center"/>
              <w:rPr>
                <w:sz w:val="22"/>
                <w:szCs w:val="22"/>
              </w:rPr>
            </w:pPr>
            <w:r>
              <w:rPr>
                <w:sz w:val="22"/>
                <w:szCs w:val="22"/>
              </w:rPr>
              <w:t>cx</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630"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675" w:type="dxa"/>
            <w:tcBorders>
              <w:left w:val="single" w:sz="2" w:space="0" w:color="000000"/>
              <w:bottom w:val="single" w:sz="2" w:space="0" w:color="000000"/>
            </w:tcBorders>
          </w:tcPr>
          <w:p>
            <w:pPr>
              <w:pStyle w:val="Contedodatabela"/>
              <w:jc w:val="center"/>
              <w:rPr>
                <w:sz w:val="22"/>
                <w:szCs w:val="22"/>
              </w:rPr>
            </w:pPr>
            <w:r>
              <w:rPr>
                <w:sz w:val="22"/>
                <w:szCs w:val="22"/>
              </w:rPr>
              <w:t>6</w:t>
            </w:r>
          </w:p>
        </w:tc>
        <w:tc>
          <w:tcPr>
            <w:tcW w:w="3405" w:type="dxa"/>
            <w:tcBorders>
              <w:left w:val="single" w:sz="2" w:space="0" w:color="000000"/>
              <w:bottom w:val="single" w:sz="2" w:space="0" w:color="000000"/>
            </w:tcBorders>
          </w:tcPr>
          <w:p>
            <w:pPr>
              <w:pStyle w:val="Contedodatabela"/>
              <w:jc w:val="both"/>
              <w:rPr>
                <w:sz w:val="22"/>
                <w:szCs w:val="22"/>
              </w:rPr>
            </w:pPr>
            <w:r>
              <w:rPr>
                <w:sz w:val="22"/>
                <w:szCs w:val="22"/>
              </w:rPr>
              <w:t>Enxaguante bucal, clorexidina 0,12 (sem Álcool), realização de bochecho antes da avaliação.</w:t>
            </w:r>
          </w:p>
        </w:tc>
        <w:tc>
          <w:tcPr>
            <w:tcW w:w="1125" w:type="dxa"/>
            <w:tcBorders>
              <w:left w:val="single" w:sz="2" w:space="0" w:color="000000"/>
              <w:bottom w:val="single" w:sz="2" w:space="0" w:color="000000"/>
            </w:tcBorders>
          </w:tcPr>
          <w:p>
            <w:pPr>
              <w:pStyle w:val="Contedodatabela"/>
              <w:jc w:val="center"/>
              <w:rPr>
                <w:sz w:val="22"/>
                <w:szCs w:val="22"/>
              </w:rPr>
            </w:pPr>
            <w:r>
              <w:rPr>
                <w:sz w:val="22"/>
                <w:szCs w:val="22"/>
              </w:rPr>
              <w:t>5,0</w:t>
            </w:r>
          </w:p>
        </w:tc>
        <w:tc>
          <w:tcPr>
            <w:tcW w:w="750" w:type="dxa"/>
            <w:tcBorders>
              <w:left w:val="single" w:sz="2" w:space="0" w:color="000000"/>
              <w:bottom w:val="single" w:sz="2" w:space="0" w:color="000000"/>
            </w:tcBorders>
          </w:tcPr>
          <w:p>
            <w:pPr>
              <w:pStyle w:val="Contedodatabela"/>
              <w:jc w:val="center"/>
              <w:rPr>
                <w:sz w:val="22"/>
                <w:szCs w:val="22"/>
              </w:rPr>
            </w:pPr>
            <w:r>
              <w:rPr>
                <w:sz w:val="22"/>
                <w:szCs w:val="22"/>
              </w:rPr>
              <w:t>L</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r>
        <w:trPr/>
        <w:tc>
          <w:tcPr>
            <w:tcW w:w="630" w:type="dxa"/>
            <w:tcBorders>
              <w:left w:val="single" w:sz="2" w:space="0" w:color="000000"/>
              <w:bottom w:val="single" w:sz="2" w:space="0" w:color="000000"/>
            </w:tcBorders>
          </w:tcPr>
          <w:p>
            <w:pPr>
              <w:pStyle w:val="Contedodatabela"/>
              <w:jc w:val="center"/>
              <w:rPr>
                <w:sz w:val="22"/>
                <w:szCs w:val="22"/>
              </w:rPr>
            </w:pPr>
            <w:r>
              <w:rPr>
                <w:sz w:val="22"/>
                <w:szCs w:val="22"/>
              </w:rPr>
              <w:t>1</w:t>
            </w:r>
          </w:p>
        </w:tc>
        <w:tc>
          <w:tcPr>
            <w:tcW w:w="675" w:type="dxa"/>
            <w:tcBorders>
              <w:left w:val="single" w:sz="2" w:space="0" w:color="000000"/>
              <w:bottom w:val="single" w:sz="2" w:space="0" w:color="000000"/>
            </w:tcBorders>
          </w:tcPr>
          <w:p>
            <w:pPr>
              <w:pStyle w:val="Contedodatabela"/>
              <w:jc w:val="center"/>
              <w:rPr>
                <w:sz w:val="22"/>
                <w:szCs w:val="22"/>
              </w:rPr>
            </w:pPr>
            <w:r>
              <w:rPr>
                <w:sz w:val="22"/>
                <w:szCs w:val="22"/>
              </w:rPr>
              <w:t>7</w:t>
            </w:r>
          </w:p>
        </w:tc>
        <w:tc>
          <w:tcPr>
            <w:tcW w:w="3405" w:type="dxa"/>
            <w:tcBorders>
              <w:left w:val="single" w:sz="2" w:space="0" w:color="000000"/>
              <w:bottom w:val="single" w:sz="2" w:space="0" w:color="000000"/>
            </w:tcBorders>
          </w:tcPr>
          <w:p>
            <w:pPr>
              <w:pStyle w:val="Contedodatabela"/>
              <w:jc w:val="both"/>
              <w:rPr>
                <w:sz w:val="22"/>
                <w:szCs w:val="22"/>
              </w:rPr>
            </w:pPr>
            <w:r>
              <w:rPr>
                <w:sz w:val="22"/>
                <w:szCs w:val="22"/>
              </w:rPr>
              <w:t>Indicador químico integrador classe 05 para autoclave, embalagem com 250 a 300 unidades.</w:t>
            </w:r>
          </w:p>
        </w:tc>
        <w:tc>
          <w:tcPr>
            <w:tcW w:w="1125" w:type="dxa"/>
            <w:tcBorders>
              <w:left w:val="single" w:sz="2" w:space="0" w:color="000000"/>
              <w:bottom w:val="single" w:sz="2" w:space="0" w:color="000000"/>
            </w:tcBorders>
          </w:tcPr>
          <w:p>
            <w:pPr>
              <w:pStyle w:val="Contedodatabela"/>
              <w:jc w:val="center"/>
              <w:rPr>
                <w:sz w:val="22"/>
                <w:szCs w:val="22"/>
              </w:rPr>
            </w:pPr>
            <w:r>
              <w:rPr>
                <w:sz w:val="22"/>
                <w:szCs w:val="22"/>
              </w:rPr>
              <w:t>2,0</w:t>
            </w:r>
          </w:p>
        </w:tc>
        <w:tc>
          <w:tcPr>
            <w:tcW w:w="750" w:type="dxa"/>
            <w:tcBorders>
              <w:left w:val="single" w:sz="2" w:space="0" w:color="000000"/>
              <w:bottom w:val="single" w:sz="2" w:space="0" w:color="000000"/>
            </w:tcBorders>
          </w:tcPr>
          <w:p>
            <w:pPr>
              <w:pStyle w:val="Contedodatabela"/>
              <w:jc w:val="center"/>
              <w:rPr>
                <w:sz w:val="22"/>
                <w:szCs w:val="22"/>
              </w:rPr>
            </w:pPr>
            <w:r>
              <w:rPr>
                <w:sz w:val="22"/>
                <w:szCs w:val="22"/>
              </w:rPr>
              <w:t>Pct</w:t>
            </w:r>
          </w:p>
        </w:tc>
        <w:tc>
          <w:tcPr>
            <w:tcW w:w="1147" w:type="dxa"/>
            <w:tcBorders>
              <w:left w:val="single" w:sz="2" w:space="0" w:color="000000"/>
              <w:bottom w:val="single" w:sz="2" w:space="0" w:color="000000"/>
            </w:tcBorders>
          </w:tcPr>
          <w:p>
            <w:pPr>
              <w:pStyle w:val="Contedodatabela"/>
              <w:jc w:val="center"/>
              <w:rPr>
                <w:sz w:val="22"/>
                <w:szCs w:val="22"/>
              </w:rPr>
            </w:pPr>
            <w:r>
              <w:rPr>
                <w:sz w:val="22"/>
                <w:szCs w:val="22"/>
              </w:rPr>
            </w:r>
          </w:p>
        </w:tc>
        <w:tc>
          <w:tcPr>
            <w:tcW w:w="1207" w:type="dxa"/>
            <w:tcBorders>
              <w:left w:val="single" w:sz="2" w:space="0" w:color="000000"/>
              <w:bottom w:val="single" w:sz="2" w:space="0" w:color="000000"/>
            </w:tcBorders>
          </w:tcPr>
          <w:p>
            <w:pPr>
              <w:pStyle w:val="Contedodatabela"/>
              <w:jc w:val="right"/>
              <w:rPr>
                <w:sz w:val="22"/>
                <w:szCs w:val="22"/>
              </w:rPr>
            </w:pPr>
            <w:r>
              <w:rPr>
                <w:sz w:val="22"/>
                <w:szCs w:val="22"/>
              </w:rPr>
            </w:r>
          </w:p>
        </w:tc>
        <w:tc>
          <w:tcPr>
            <w:tcW w:w="1171" w:type="dxa"/>
            <w:tcBorders>
              <w:left w:val="single" w:sz="2" w:space="0" w:color="000000"/>
              <w:bottom w:val="single" w:sz="2" w:space="0" w:color="000000"/>
              <w:right w:val="single" w:sz="2" w:space="0" w:color="000000"/>
            </w:tcBorders>
          </w:tcPr>
          <w:p>
            <w:pPr>
              <w:pStyle w:val="Contedodatabela"/>
              <w:jc w:val="right"/>
              <w:rPr>
                <w:sz w:val="22"/>
                <w:szCs w:val="22"/>
              </w:rPr>
            </w:pPr>
            <w:r>
              <w:rPr>
                <w:sz w:val="22"/>
                <w:szCs w:val="22"/>
              </w:rPr>
            </w:r>
          </w:p>
        </w:tc>
      </w:tr>
    </w:tbl>
    <w:p>
      <w:pPr>
        <w:pStyle w:val="Normal"/>
        <w:rPr>
          <w:sz w:val="22"/>
          <w:szCs w:val="22"/>
        </w:rPr>
      </w:pPr>
      <w:r>
        <w:rPr>
          <w:sz w:val="22"/>
          <w:szCs w:val="22"/>
        </w:rPr>
      </w:r>
    </w:p>
    <w:sectPr>
      <w:headerReference w:type="default" r:id="rId2"/>
      <w:type w:val="nextPage"/>
      <w:pgSz w:w="12240" w:h="15840"/>
      <w:pgMar w:left="1800" w:right="1800" w:header="1440" w:top="2506"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4">
          <wp:simplePos x="0" y="0"/>
          <wp:positionH relativeFrom="column">
            <wp:posOffset>95250</wp:posOffset>
          </wp:positionH>
          <wp:positionV relativeFrom="paragraph">
            <wp:posOffset>-300990</wp:posOffset>
          </wp:positionV>
          <wp:extent cx="762000" cy="76200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62000" cy="762000"/>
                  </a:xfrm>
                  <a:prstGeom prst="rect">
                    <a:avLst/>
                  </a:prstGeom>
                </pic:spPr>
              </pic:pic>
            </a:graphicData>
          </a:graphic>
        </wp:anchor>
      </w:drawing>
    </w:r>
  </w:p>
  <w:p>
    <w:pPr>
      <w:pStyle w:val="Cabealho"/>
      <w:jc w:val="center"/>
      <w:rPr>
        <w:b/>
        <w:b/>
        <w:bCs/>
        <w:sz w:val="24"/>
        <w:szCs w:val="24"/>
      </w:rPr>
    </w:pPr>
    <w:r>
      <w:rPr>
        <w:b/>
        <w:bCs/>
        <w:sz w:val="24"/>
        <w:szCs w:val="24"/>
      </w:rPr>
      <w:t>ESTADO DO RIO GRANDE DO SUL</w:t>
    </w:r>
  </w:p>
  <w:p>
    <w:pPr>
      <w:pStyle w:val="Cabealho"/>
      <w:jc w:val="center"/>
      <w:rPr>
        <w:b/>
        <w:b/>
        <w:bCs/>
        <w:sz w:val="24"/>
        <w:szCs w:val="24"/>
      </w:rPr>
    </w:pPr>
    <w:r>
      <w:rPr>
        <w:b/>
        <w:bCs/>
        <w:sz w:val="24"/>
        <w:szCs w:val="24"/>
      </w:rPr>
      <w:t>PREFEITURA MUNICIPAL DE VIADUTOS</w:t>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60</TotalTime>
  <Application>LibreOffice/6.4.4.2$Windows_X86_64 LibreOffice_project/3d775be2011f3886db32dfd395a6a6d1ca2630ff</Application>
  <Pages>3</Pages>
  <Words>473</Words>
  <Characters>2594</Characters>
  <CharactersWithSpaces>3027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cp:lastPrinted>2025-09-26T15:43:37Z</cp:lastPrinted>
  <dcterms:modified xsi:type="dcterms:W3CDTF">2025-09-26T15:45:43Z</dcterms:modified>
  <cp:revision>33</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