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A0" w:rsidRDefault="003276A0">
      <w:pPr>
        <w:spacing w:line="276" w:lineRule="auto"/>
        <w:jc w:val="center"/>
        <w:rPr>
          <w:sz w:val="24"/>
          <w:szCs w:val="24"/>
        </w:rPr>
      </w:pPr>
    </w:p>
    <w:p w:rsidR="003276A0" w:rsidRDefault="0079739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Nº133/2026</w:t>
      </w:r>
    </w:p>
    <w:p w:rsidR="003276A0" w:rsidRDefault="003276A0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Torna-se público que a Prefeitura Municipal de Viadutos, por meio do Setor de Compras e Licitações pretende proceder a aquisição de material (toner</w:t>
      </w:r>
      <w:r>
        <w:rPr>
          <w:rFonts w:ascii="Arial" w:hAnsi="Arial"/>
          <w:sz w:val="24"/>
          <w:szCs w:val="24"/>
        </w:rPr>
        <w:t xml:space="preserve">) que serão utilizados para atender as demandas das Escolas Municipais, Secretaria Municipal de Educação e Secretaria Municipal de Saúde. O material é para o ano de 2026, </w:t>
      </w:r>
      <w:r>
        <w:rPr>
          <w:rFonts w:ascii="Arial" w:hAnsi="Arial"/>
          <w:b/>
          <w:bCs/>
          <w:sz w:val="24"/>
          <w:szCs w:val="24"/>
        </w:rPr>
        <w:t>devendo ser entregue conforme a solicitação</w:t>
      </w:r>
      <w:r>
        <w:rPr>
          <w:rFonts w:ascii="Arial" w:hAnsi="Arial"/>
          <w:sz w:val="24"/>
          <w:szCs w:val="24"/>
        </w:rPr>
        <w:t xml:space="preserve"> de cada secretaria</w:t>
      </w:r>
      <w:r>
        <w:rPr>
          <w:rFonts w:ascii="Arial" w:hAnsi="Arial"/>
          <w:sz w:val="24"/>
          <w:szCs w:val="24"/>
        </w:rPr>
        <w:t>, via dispensa de lici</w:t>
      </w:r>
      <w:r>
        <w:rPr>
          <w:rFonts w:ascii="Arial" w:hAnsi="Arial"/>
          <w:sz w:val="24"/>
          <w:szCs w:val="24"/>
        </w:rPr>
        <w:t>tação, prevista no art. 75, inciso II, da Lei Federal n. 14.133, de 1º de abril de 2021 e, tem interesse legal em obter propostas adicionais e eventuais interessados que se enquadrem no ramo de atividade do objeto pretendido, nos termos do §</w:t>
      </w:r>
      <w:r>
        <w:rPr>
          <w:rFonts w:ascii="Arial" w:hAnsi="Arial"/>
          <w:sz w:val="24"/>
          <w:szCs w:val="24"/>
        </w:rPr>
        <w:t xml:space="preserve"> 3º do artigo </w:t>
      </w:r>
      <w:r>
        <w:rPr>
          <w:rFonts w:ascii="Arial" w:hAnsi="Arial"/>
          <w:sz w:val="24"/>
          <w:szCs w:val="24"/>
        </w:rPr>
        <w:t xml:space="preserve">75 da lei de licitações. As propostas adicionais serão recebidas até as 17:00 do terceiro dia útil da publicação deste aviso. As propostas poderão ser entregues pessoalmente na sede do Município ou via e-mail </w:t>
      </w:r>
      <w:hyperlink r:id="rId7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digitalmente.</w:t>
      </w:r>
    </w:p>
    <w:p w:rsidR="003276A0" w:rsidRDefault="003276A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3276A0" w:rsidRDefault="003276A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276A0" w:rsidRDefault="00797395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 – RS, 25 de março de 2026.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3276A0" w:rsidRDefault="003276A0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3276A0" w:rsidRDefault="003276A0">
      <w:pPr>
        <w:spacing w:line="276" w:lineRule="auto"/>
        <w:jc w:val="both"/>
        <w:rPr>
          <w:sz w:val="24"/>
          <w:szCs w:val="24"/>
        </w:rPr>
      </w:pPr>
    </w:p>
    <w:p w:rsidR="003276A0" w:rsidRDefault="00797395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3276A0" w:rsidRDefault="003276A0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</w:t>
      </w:r>
      <w:r>
        <w:rPr>
          <w:rFonts w:ascii="Arial" w:hAnsi="Arial"/>
          <w:sz w:val="22"/>
          <w:szCs w:val="22"/>
        </w:rPr>
        <w:t>ga: Prefeitura Municipal de Viadutos.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conforme necessidade/solicitação da secretaria.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</w:t>
      </w:r>
      <w:r>
        <w:rPr>
          <w:rFonts w:ascii="Arial" w:hAnsi="Arial"/>
          <w:sz w:val="22"/>
          <w:szCs w:val="22"/>
        </w:rPr>
        <w:t>erificará a existência de sansão que a impeça de contratar, mediante a consulta a cadastros informativos oficiais, em nome da empresa licitante e também seu sócio majoritário.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</w:t>
      </w:r>
      <w:r>
        <w:rPr>
          <w:rFonts w:ascii="Arial" w:hAnsi="Arial"/>
          <w:sz w:val="22"/>
          <w:szCs w:val="22"/>
        </w:rPr>
        <w:t>T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 w:rsidR="003276A0" w:rsidRDefault="0079739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Certidão Negativa de Falência e Concordata</w:t>
      </w:r>
    </w:p>
    <w:p w:rsidR="003276A0" w:rsidRDefault="003276A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276A0" w:rsidRDefault="003276A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276A0" w:rsidRDefault="003276A0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3276A0" w:rsidRDefault="003276A0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3276A0" w:rsidRDefault="003276A0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</w:p>
    <w:p w:rsidR="003276A0" w:rsidRDefault="00797395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3276A0" w:rsidRDefault="00797395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IDENTIFICAÇÃO DA EMPRESA</w:t>
      </w:r>
    </w:p>
    <w:p w:rsidR="003276A0" w:rsidRDefault="003276A0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3276A0" w:rsidRDefault="0079739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3276A0" w:rsidRDefault="003276A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276A0" w:rsidRDefault="00797395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3276A0" w:rsidRDefault="00797395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3276A0" w:rsidRDefault="003276A0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2"/>
        <w:gridCol w:w="2447"/>
        <w:gridCol w:w="1321"/>
        <w:gridCol w:w="1200"/>
        <w:gridCol w:w="922"/>
        <w:gridCol w:w="1207"/>
        <w:gridCol w:w="1171"/>
      </w:tblGrid>
      <w:tr w:rsidR="003276A0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Refil de tinta na cor ciano BT-5001C, 41,8 ml, original, para impressora Brother DCP-T820DW.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Refil de tinta na cor magenta BT-5001M, 41,8 ml, original, para impressora Brother DCP-T820DW.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Refil de tinta na cor </w:t>
            </w:r>
            <w:r>
              <w:rPr>
                <w:rFonts w:ascii="Arial" w:hAnsi="Arial"/>
                <w:sz w:val="22"/>
                <w:szCs w:val="22"/>
              </w:rPr>
              <w:t>amarelo BT-5001Y, 41,8 ml, original, para impressora Brother DCP-T820DW.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Refil de tinta preta, 41,8 ml, original, para impressora Brother DCP-T820DW.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Refil de tinta original para a impressora Epson modelo L3150/L3250/L3110, na </w:t>
            </w:r>
            <w:r>
              <w:rPr>
                <w:rFonts w:ascii="Arial" w:hAnsi="Arial"/>
                <w:sz w:val="22"/>
                <w:szCs w:val="22"/>
              </w:rPr>
              <w:t>cor Ciano com 65 ml.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Refil de tinta original para a impressora Epson modelo L3150/L3250/L3110, na cor magenta com 65 ml.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Refil de tinta original para a impressora Epson modelo L3150/L3250/L3110, na cor amarela com 65 ml.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Refil de tinta original para a impressora Epson modelo L3150/L3250/L3110, na cor preta com 65 ml.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Toner impressora PANTUM BM 5100 ADW.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Toner impressora Brother DCP-L5652-DN.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Toner impressora HP </w:t>
            </w:r>
            <w:r>
              <w:rPr>
                <w:rFonts w:ascii="Arial" w:hAnsi="Arial"/>
                <w:sz w:val="22"/>
                <w:szCs w:val="22"/>
              </w:rPr>
              <w:t>LaserJet M1132 MFP.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Recarga de tinta original, 65 ml, na cor azul. Epson L3250.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Recarga de tinta original, 65 ml, na cor amarelo. Epson L3250.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Recarga de tinta original, 65 ml, na cor magenta. Epson L3250.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276A0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Recarga de tinta original, 65 ml, na cor preta. Epson L3250.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79739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6A0" w:rsidRDefault="003276A0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276A0" w:rsidRDefault="003276A0">
      <w:pPr>
        <w:rPr>
          <w:sz w:val="22"/>
          <w:szCs w:val="22"/>
        </w:rPr>
      </w:pPr>
    </w:p>
    <w:p w:rsidR="003276A0" w:rsidRDefault="003276A0">
      <w:pPr>
        <w:jc w:val="center"/>
        <w:rPr>
          <w:sz w:val="22"/>
          <w:szCs w:val="22"/>
        </w:rPr>
      </w:pPr>
    </w:p>
    <w:p w:rsidR="003276A0" w:rsidRDefault="00797395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3276A0" w:rsidRDefault="003276A0">
      <w:pPr>
        <w:jc w:val="center"/>
        <w:rPr>
          <w:sz w:val="22"/>
          <w:szCs w:val="22"/>
        </w:rPr>
      </w:pPr>
    </w:p>
    <w:sectPr w:rsidR="003276A0">
      <w:headerReference w:type="default" r:id="rId8"/>
      <w:pgSz w:w="12240" w:h="15840"/>
      <w:pgMar w:top="2202" w:right="1136" w:bottom="1136" w:left="1136" w:header="113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7395">
      <w:r>
        <w:separator/>
      </w:r>
    </w:p>
  </w:endnote>
  <w:endnote w:type="continuationSeparator" w:id="0">
    <w:p w:rsidR="00000000" w:rsidRDefault="007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7395">
      <w:r>
        <w:separator/>
      </w:r>
    </w:p>
  </w:footnote>
  <w:footnote w:type="continuationSeparator" w:id="0">
    <w:p w:rsidR="00000000" w:rsidRDefault="0079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6A0" w:rsidRDefault="00797395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76A0" w:rsidRDefault="00797395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3276A0" w:rsidRDefault="00797395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F57B4"/>
    <w:multiLevelType w:val="multilevel"/>
    <w:tmpl w:val="DC0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F3D1FE1"/>
    <w:multiLevelType w:val="multilevel"/>
    <w:tmpl w:val="86341B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276A0"/>
    <w:rsid w:val="003276A0"/>
    <w:rsid w:val="007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3040F-261D-4287-AA06-F8F62ACA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viaduto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526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38</cp:revision>
  <cp:lastPrinted>2026-03-25T15:34:00Z</cp:lastPrinted>
  <dcterms:created xsi:type="dcterms:W3CDTF">2023-06-05T10:08:00Z</dcterms:created>
  <dcterms:modified xsi:type="dcterms:W3CDTF">2026-03-25T18:44:00Z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