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Nº145/2026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lavadora de roupas automatica de no minimo 12 kg </w:t>
      </w:r>
      <w:r>
        <w:rPr>
          <w:rFonts w:ascii="Arial" w:hAnsi="Arial"/>
          <w:sz w:val="24"/>
          <w:szCs w:val="24"/>
        </w:rPr>
        <w:t>conforme descrição no anexo I,</w:t>
      </w:r>
      <w:r>
        <w:rPr>
          <w:rFonts w:ascii="Arial" w:hAnsi="Arial"/>
          <w:sz w:val="24"/>
          <w:szCs w:val="24"/>
        </w:rPr>
        <w:t xml:space="preserve"> para a Secretaria de Educação,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31 de março de 2026</w:t>
      </w:r>
      <w:r>
        <w:rPr>
          <w:rFonts w:ascii="Arial" w:hAnsi="Arial"/>
          <w:sz w:val="24"/>
          <w:szCs w:val="24"/>
        </w:rPr>
        <w:t xml:space="preserve">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>imediato</w:t>
      </w:r>
      <w:r>
        <w:rPr>
          <w:rFonts w:ascii="Arial" w:hAnsi="Arial"/>
          <w:sz w:val="22"/>
          <w:szCs w:val="22"/>
        </w:rPr>
        <w:t xml:space="preserve">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IDENTIFICAÇÃO DA EMPRESA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RG:</w:t>
      </w:r>
    </w:p>
    <w:p>
      <w:pPr>
        <w:pStyle w:val="Normal"/>
        <w:spacing w:lineRule="auto" w:line="276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4995"/>
        <w:gridCol w:w="1410"/>
        <w:gridCol w:w="1020"/>
        <w:gridCol w:w="975"/>
        <w:gridCol w:w="975"/>
      </w:tblGrid>
      <w:tr>
        <w:trPr/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Unitário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Lavadora de Roupas Automática 12 kg. Linha tira manchas Advanced (BWK 12) ou Agua Quente (BWR12). Maquina de Lavar roupas automática de abertura superior (Top Load) Capacidade de Lavagem: Minimo de 12 kg de roupa seca. Tensão/Voltagem: 220 V eficiência Energetica: Selo procel A (mais eficiente). Cesto: Aço inoxidável (para maior durabilidade e higiene). Cor: Branca. Tampa Vidro temperado com abertura superior. Painel digital ou Eletrônico de fácil operação. Funcionalidades  e Ciclos: Tecnologia Tira Manchas Pro/advanced: Ciclos especiais para remoção de manchas difíceis ( ex: gordura canetinha, café). Ciclo rápido: Opção de lavagem rápida para roupas levemente sujas. Níveis de agua: Automáticos ou com múltiplos níveis selecionáveis. Enxague: Mínimo de dois enxagues (opcional). Centrifugação: Velocidade eficiente para roupas menos úmidas. Agitador: tecnologia de agitação eficiente que protege os tecidos. Diferenciais 9 Opcional – para aumentar qualidade técnica); Agua quente: Sistema de aquecimento de água ( presente na linha BWR 12). Smart Sensor: Sistema de sensores que ajusta automaticamente o nível de agua e o tempo de lavagem com base na quantidade de roupa. Ciclo Edredom: Ciclo especial para lavagem de edredons e peças pesadas. Garantia: Mínima de 12 meses ( fornecedor/fabricante). Rede autorizada em todo território nacional. (Marca-referencia indicativa de parâmetro de qualidade: Brastemp, equivalente ou de melhor qualidade.)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CARIMBO E ASSINATURA DA EMPRESA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LibreOffice/6.4.4.2$Windows_X86_64 LibreOffice_project/3d775be2011f3886db32dfd395a6a6d1ca2630ff</Application>
  <Pages>2</Pages>
  <Words>507</Words>
  <Characters>2836</Characters>
  <CharactersWithSpaces>3305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2026-03-31T14:54:35Z</cp:lastPrinted>
  <dcterms:modified xsi:type="dcterms:W3CDTF">2026-03-31T14:58:31Z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