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127/2025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para a manutenção do sistema de freios do veículo de placas IUN 7792, pertencente a Secretaria Municipal de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para a manutenção do sistema de freios do veículo de placas IUN 7792, pertencente a Secretaria Municipal de Administração..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Freio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Cubo com rolamento.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127/2025.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Freio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Cubo com rolamento.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color w:val="auto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peças para a manutenção do sistema de freios do veículo de placas IUN 7792, pertencente a Secretaria Municipal de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para a manutenção do sistema de freios do veículo de placas IUN 7792, pertencente a Secretaria Municipal de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de Administração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de Freio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482,20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482,20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Cubo com rolamento.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14/03/25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Paulo Sergio Lazzarotto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Secretario Municipal de Administração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LibreOffice/6.4.4.2$Windows_X86_64 LibreOffice_project/3d775be2011f3886db32dfd395a6a6d1ca2630ff</Application>
  <Pages>2</Pages>
  <Words>574</Words>
  <Characters>3344</Characters>
  <CharactersWithSpaces>3874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2025-03-14T14:14:01Z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